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2A39C" w14:textId="0A6D60FB" w:rsidR="002319F8" w:rsidRPr="004044A2" w:rsidRDefault="00B91E46" w:rsidP="006B2A4C">
      <w:pPr>
        <w:spacing w:line="240" w:lineRule="auto"/>
        <w:ind w:right="-142"/>
        <w:rPr>
          <w:rFonts w:ascii="Arial" w:hAnsi="Arial" w:cs="Arial"/>
          <w:b/>
          <w:bCs/>
          <w:sz w:val="28"/>
          <w:szCs w:val="28"/>
          <w:lang w:val="en-US"/>
        </w:rPr>
      </w:pPr>
      <w:r w:rsidRPr="004044A2">
        <w:rPr>
          <w:rFonts w:ascii="Arial" w:hAnsi="Arial" w:cs="Arial"/>
          <w:b/>
          <w:bCs/>
          <w:sz w:val="28"/>
          <w:szCs w:val="28"/>
          <w:lang w:val="en-US"/>
        </w:rPr>
        <w:t xml:space="preserve">Press Release </w:t>
      </w:r>
    </w:p>
    <w:p w14:paraId="08C35CB4" w14:textId="77777777" w:rsidR="002B0E2E" w:rsidRDefault="002B0E2E" w:rsidP="002B0E2E">
      <w:pPr>
        <w:spacing w:line="240" w:lineRule="auto"/>
        <w:ind w:right="-142"/>
        <w:rPr>
          <w:rFonts w:ascii="Arial" w:hAnsi="Arial" w:cs="Arial"/>
          <w:b/>
          <w:bCs/>
          <w:szCs w:val="22"/>
          <w:lang w:val="en-US"/>
        </w:rPr>
      </w:pPr>
    </w:p>
    <w:p w14:paraId="1955A6A4" w14:textId="77777777" w:rsidR="001A328A" w:rsidRDefault="001A328A" w:rsidP="002B0E2E">
      <w:pPr>
        <w:spacing w:line="240" w:lineRule="auto"/>
        <w:ind w:right="-142"/>
        <w:rPr>
          <w:rFonts w:ascii="Arial" w:hAnsi="Arial" w:cs="Arial"/>
          <w:b/>
          <w:bCs/>
          <w:szCs w:val="22"/>
          <w:lang w:val="en-US"/>
        </w:rPr>
      </w:pPr>
    </w:p>
    <w:p w14:paraId="1993B411" w14:textId="77777777" w:rsidR="00A8416C" w:rsidRPr="00A8416C" w:rsidRDefault="00A8416C" w:rsidP="00A8416C">
      <w:pPr>
        <w:spacing w:line="240" w:lineRule="auto"/>
        <w:ind w:right="-142"/>
        <w:jc w:val="both"/>
        <w:rPr>
          <w:rFonts w:ascii="Arial" w:hAnsi="Arial" w:cs="Arial"/>
          <w:b/>
          <w:bCs/>
          <w:sz w:val="24"/>
          <w:lang w:val="en-US"/>
        </w:rPr>
      </w:pPr>
      <w:r w:rsidRPr="00A8416C">
        <w:rPr>
          <w:rFonts w:ascii="Arial" w:hAnsi="Arial" w:cs="Arial"/>
          <w:b/>
          <w:bCs/>
          <w:sz w:val="24"/>
          <w:lang w:val="en-US"/>
        </w:rPr>
        <w:t>GMH Gruppe Consolidates Open-Die Forging Group: Kind &amp; Co., Schmiedewerke Gröditz and Buderus Edelstahl aligned under a unified industrial structure</w:t>
      </w:r>
    </w:p>
    <w:p w14:paraId="3F0D043B" w14:textId="51F0AFC3" w:rsidR="00F961D0" w:rsidRPr="00A8416C" w:rsidRDefault="00F961D0" w:rsidP="00A8416C">
      <w:pPr>
        <w:spacing w:line="240" w:lineRule="auto"/>
        <w:ind w:right="-142"/>
        <w:jc w:val="both"/>
        <w:rPr>
          <w:rFonts w:ascii="Arial" w:hAnsi="Arial" w:cs="Arial"/>
          <w:b/>
          <w:bCs/>
          <w:sz w:val="24"/>
          <w:lang w:val="en-US"/>
        </w:rPr>
      </w:pPr>
    </w:p>
    <w:p w14:paraId="14A911F4" w14:textId="07BD7721" w:rsidR="00C64E54" w:rsidRPr="0028480C" w:rsidRDefault="002B0E2E" w:rsidP="00045E0B">
      <w:pPr>
        <w:spacing w:line="240" w:lineRule="auto"/>
        <w:ind w:right="-142"/>
        <w:jc w:val="both"/>
        <w:rPr>
          <w:rFonts w:ascii="Arial" w:hAnsi="Arial" w:cs="Arial"/>
          <w:szCs w:val="22"/>
          <w:lang w:val="en-US"/>
        </w:rPr>
      </w:pPr>
      <w:r w:rsidRPr="002B0E2E">
        <w:rPr>
          <w:rFonts w:ascii="Arial" w:hAnsi="Arial" w:cs="Arial"/>
          <w:b/>
          <w:bCs/>
          <w:szCs w:val="22"/>
          <w:lang w:val="en-US"/>
        </w:rPr>
        <w:t xml:space="preserve">Georgsmarienhütte, </w:t>
      </w:r>
      <w:r w:rsidR="00045E0B">
        <w:rPr>
          <w:rFonts w:ascii="Arial" w:hAnsi="Arial" w:cs="Arial"/>
          <w:b/>
          <w:bCs/>
          <w:szCs w:val="22"/>
          <w:lang w:val="en-US"/>
        </w:rPr>
        <w:t>1</w:t>
      </w:r>
      <w:r w:rsidR="0061179A">
        <w:rPr>
          <w:rFonts w:ascii="Arial" w:hAnsi="Arial" w:cs="Arial"/>
          <w:b/>
          <w:bCs/>
          <w:szCs w:val="22"/>
          <w:lang w:val="en-US"/>
        </w:rPr>
        <w:t>3</w:t>
      </w:r>
      <w:r w:rsidR="00447139">
        <w:rPr>
          <w:rFonts w:ascii="Arial" w:hAnsi="Arial" w:cs="Arial"/>
          <w:b/>
          <w:bCs/>
          <w:szCs w:val="22"/>
          <w:lang w:val="en-US"/>
        </w:rPr>
        <w:t xml:space="preserve">. </w:t>
      </w:r>
      <w:r w:rsidR="00045E0B">
        <w:rPr>
          <w:rFonts w:ascii="Arial" w:hAnsi="Arial" w:cs="Arial"/>
          <w:b/>
          <w:bCs/>
          <w:szCs w:val="22"/>
          <w:lang w:val="en-US"/>
        </w:rPr>
        <w:t>January</w:t>
      </w:r>
      <w:r w:rsidRPr="002B0E2E">
        <w:rPr>
          <w:rFonts w:ascii="Arial" w:hAnsi="Arial" w:cs="Arial"/>
          <w:b/>
          <w:bCs/>
          <w:szCs w:val="22"/>
          <w:lang w:val="en-US"/>
        </w:rPr>
        <w:t xml:space="preserve"> 202</w:t>
      </w:r>
      <w:r w:rsidR="00045E0B">
        <w:rPr>
          <w:rFonts w:ascii="Arial" w:hAnsi="Arial" w:cs="Arial"/>
          <w:b/>
          <w:bCs/>
          <w:szCs w:val="22"/>
          <w:lang w:val="en-US"/>
        </w:rPr>
        <w:t>6</w:t>
      </w:r>
      <w:r w:rsidRPr="002B0E2E">
        <w:rPr>
          <w:rFonts w:ascii="Arial" w:hAnsi="Arial" w:cs="Arial"/>
          <w:b/>
          <w:bCs/>
          <w:szCs w:val="22"/>
          <w:lang w:val="en-US"/>
        </w:rPr>
        <w:t xml:space="preserve"> –</w:t>
      </w:r>
      <w:r w:rsidR="00FA1A80">
        <w:rPr>
          <w:rFonts w:ascii="Arial" w:hAnsi="Arial" w:cs="Arial"/>
          <w:b/>
          <w:bCs/>
          <w:szCs w:val="22"/>
          <w:lang w:val="en-US"/>
        </w:rPr>
        <w:t xml:space="preserve"> </w:t>
      </w:r>
      <w:r w:rsidR="00FA1A80" w:rsidRPr="00FA1A80">
        <w:rPr>
          <w:rFonts w:ascii="Arial" w:hAnsi="Arial" w:cs="Arial"/>
          <w:szCs w:val="22"/>
          <w:lang w:val="en-US"/>
        </w:rPr>
        <w:t xml:space="preserve">As part of </w:t>
      </w:r>
      <w:r w:rsidR="00634971">
        <w:rPr>
          <w:rFonts w:ascii="Arial" w:hAnsi="Arial" w:cs="Arial"/>
          <w:szCs w:val="22"/>
          <w:lang w:val="en-US"/>
        </w:rPr>
        <w:t xml:space="preserve">its </w:t>
      </w:r>
      <w:r w:rsidR="00FA1A80" w:rsidRPr="00FA1A80">
        <w:rPr>
          <w:rFonts w:ascii="Arial" w:hAnsi="Arial" w:cs="Arial"/>
          <w:szCs w:val="22"/>
          <w:lang w:val="en-US"/>
        </w:rPr>
        <w:t>integrati</w:t>
      </w:r>
      <w:r w:rsidR="00095173">
        <w:rPr>
          <w:rFonts w:ascii="Arial" w:hAnsi="Arial" w:cs="Arial"/>
          <w:szCs w:val="22"/>
          <w:lang w:val="en-US"/>
        </w:rPr>
        <w:t xml:space="preserve">on of </w:t>
      </w:r>
      <w:r w:rsidR="00FA1A80" w:rsidRPr="00FA1A80">
        <w:rPr>
          <w:rFonts w:ascii="Arial" w:hAnsi="Arial" w:cs="Arial"/>
          <w:szCs w:val="22"/>
          <w:lang w:val="en-US"/>
        </w:rPr>
        <w:t>Kind &amp; Co</w:t>
      </w:r>
      <w:r w:rsidR="00216124">
        <w:rPr>
          <w:rFonts w:ascii="Arial" w:hAnsi="Arial" w:cs="Arial"/>
          <w:szCs w:val="22"/>
          <w:lang w:val="en-US"/>
        </w:rPr>
        <w:t>.</w:t>
      </w:r>
      <w:r w:rsidR="00FA1A80" w:rsidRPr="00FA1A80">
        <w:rPr>
          <w:rFonts w:ascii="Arial" w:hAnsi="Arial" w:cs="Arial"/>
          <w:szCs w:val="22"/>
          <w:lang w:val="en-US"/>
        </w:rPr>
        <w:t xml:space="preserve"> and Buderus Edelstahl into</w:t>
      </w:r>
      <w:r w:rsidR="00634971">
        <w:rPr>
          <w:rFonts w:ascii="Arial" w:hAnsi="Arial" w:cs="Arial"/>
          <w:szCs w:val="22"/>
          <w:lang w:val="en-US"/>
        </w:rPr>
        <w:t xml:space="preserve"> the group,</w:t>
      </w:r>
      <w:r w:rsidR="00FA1A80" w:rsidRPr="00FA1A80">
        <w:rPr>
          <w:rFonts w:ascii="Arial" w:hAnsi="Arial" w:cs="Arial"/>
          <w:szCs w:val="22"/>
          <w:lang w:val="en-US"/>
        </w:rPr>
        <w:t xml:space="preserve"> GMH Gruppe is now combining both </w:t>
      </w:r>
      <w:r w:rsidR="00634971">
        <w:rPr>
          <w:rFonts w:ascii="Arial" w:hAnsi="Arial" w:cs="Arial"/>
          <w:szCs w:val="22"/>
          <w:lang w:val="en-US"/>
        </w:rPr>
        <w:t>companie</w:t>
      </w:r>
      <w:r w:rsidR="00634971" w:rsidRPr="00FA1A80">
        <w:rPr>
          <w:rFonts w:ascii="Arial" w:hAnsi="Arial" w:cs="Arial"/>
          <w:szCs w:val="22"/>
          <w:lang w:val="en-US"/>
        </w:rPr>
        <w:t xml:space="preserve">s </w:t>
      </w:r>
      <w:r w:rsidR="00FA1A80" w:rsidRPr="00FA1A80">
        <w:rPr>
          <w:rFonts w:ascii="Arial" w:hAnsi="Arial" w:cs="Arial"/>
          <w:szCs w:val="22"/>
          <w:lang w:val="en-US"/>
        </w:rPr>
        <w:t xml:space="preserve">into a </w:t>
      </w:r>
      <w:r w:rsidR="000E0B3E">
        <w:rPr>
          <w:rFonts w:ascii="Arial" w:hAnsi="Arial" w:cs="Arial"/>
          <w:szCs w:val="22"/>
          <w:lang w:val="en-US"/>
        </w:rPr>
        <w:t>single</w:t>
      </w:r>
      <w:r w:rsidR="00FA1A80" w:rsidRPr="00FA1A80">
        <w:rPr>
          <w:rFonts w:ascii="Arial" w:hAnsi="Arial" w:cs="Arial"/>
          <w:szCs w:val="22"/>
          <w:lang w:val="en-US"/>
        </w:rPr>
        <w:t xml:space="preserve"> Open-Die Forging Group</w:t>
      </w:r>
      <w:r w:rsidR="00634971">
        <w:rPr>
          <w:rFonts w:ascii="Arial" w:hAnsi="Arial" w:cs="Arial"/>
          <w:szCs w:val="22"/>
          <w:lang w:val="en-US"/>
        </w:rPr>
        <w:t xml:space="preserve"> </w:t>
      </w:r>
      <w:r w:rsidR="003873F3">
        <w:rPr>
          <w:rFonts w:ascii="Arial" w:hAnsi="Arial" w:cs="Arial"/>
          <w:szCs w:val="22"/>
          <w:lang w:val="en-US"/>
        </w:rPr>
        <w:t xml:space="preserve">together </w:t>
      </w:r>
      <w:r w:rsidR="00634971" w:rsidRPr="00FA1A80">
        <w:rPr>
          <w:rFonts w:ascii="Arial" w:hAnsi="Arial" w:cs="Arial"/>
          <w:szCs w:val="22"/>
          <w:lang w:val="en-US"/>
        </w:rPr>
        <w:t>with Schmiedewerke Gröditz</w:t>
      </w:r>
      <w:r w:rsidR="00FA1A80" w:rsidRPr="00FA1A80">
        <w:rPr>
          <w:rFonts w:ascii="Arial" w:hAnsi="Arial" w:cs="Arial"/>
          <w:szCs w:val="22"/>
          <w:lang w:val="en-US"/>
        </w:rPr>
        <w:t xml:space="preserve">. </w:t>
      </w:r>
      <w:r w:rsidR="00B01E87" w:rsidRPr="00B01E87">
        <w:rPr>
          <w:rFonts w:ascii="Arial" w:hAnsi="Arial" w:cs="Arial"/>
          <w:szCs w:val="22"/>
          <w:lang w:val="en-US"/>
        </w:rPr>
        <w:t xml:space="preserve">This step constitutes a central element of the group’s transformation strategy and is intended to strengthen its position in Europe’s tool steel and </w:t>
      </w:r>
      <w:r w:rsidR="001A6E11">
        <w:rPr>
          <w:rFonts w:ascii="Arial" w:hAnsi="Arial" w:cs="Arial"/>
          <w:szCs w:val="22"/>
          <w:lang w:val="en-US"/>
        </w:rPr>
        <w:t>open-die</w:t>
      </w:r>
      <w:r w:rsidR="009E44BC">
        <w:rPr>
          <w:rFonts w:ascii="Arial" w:hAnsi="Arial" w:cs="Arial"/>
          <w:szCs w:val="22"/>
          <w:lang w:val="en-US"/>
        </w:rPr>
        <w:t xml:space="preserve"> </w:t>
      </w:r>
      <w:r w:rsidR="00B01E87" w:rsidRPr="00B01E87">
        <w:rPr>
          <w:rFonts w:ascii="Arial" w:hAnsi="Arial" w:cs="Arial"/>
          <w:szCs w:val="22"/>
          <w:lang w:val="en-US"/>
        </w:rPr>
        <w:t>forging markets.</w:t>
      </w:r>
      <w:r w:rsidR="0028480C">
        <w:rPr>
          <w:rFonts w:ascii="Arial" w:hAnsi="Arial" w:cs="Arial"/>
          <w:szCs w:val="22"/>
          <w:lang w:val="en-US"/>
        </w:rPr>
        <w:t xml:space="preserve"> </w:t>
      </w:r>
      <w:r w:rsidR="0028480C" w:rsidRPr="004569C0">
        <w:rPr>
          <w:rFonts w:ascii="Arial" w:hAnsi="Arial" w:cs="Arial"/>
          <w:szCs w:val="22"/>
          <w:lang w:val="en-US"/>
        </w:rPr>
        <w:t>To support the integration and further develop the group’s capabilities, GMH Gruppe will invest around €30 million across the Open-Die Forging Group.</w:t>
      </w:r>
    </w:p>
    <w:p w14:paraId="57F7DAD1" w14:textId="77777777" w:rsidR="009E44BC" w:rsidRPr="00B01E87" w:rsidRDefault="009E44BC" w:rsidP="00045E0B">
      <w:pPr>
        <w:spacing w:line="240" w:lineRule="auto"/>
        <w:ind w:right="-142"/>
        <w:jc w:val="both"/>
        <w:rPr>
          <w:rFonts w:ascii="Arial" w:hAnsi="Arial" w:cs="Arial"/>
          <w:szCs w:val="22"/>
          <w:lang w:val="en-US"/>
        </w:rPr>
      </w:pPr>
    </w:p>
    <w:p w14:paraId="36ADD473" w14:textId="3804BFBD" w:rsidR="00D52A56" w:rsidRPr="00992176" w:rsidRDefault="00B8145A" w:rsidP="003873F3">
      <w:pPr>
        <w:spacing w:line="240" w:lineRule="auto"/>
        <w:ind w:right="-142"/>
        <w:jc w:val="both"/>
        <w:rPr>
          <w:rStyle w:val="Fett"/>
          <w:rFonts w:ascii="Arial" w:hAnsi="Arial" w:cs="Arial"/>
          <w:sz w:val="20"/>
          <w:szCs w:val="20"/>
          <w:lang w:val="en-US"/>
        </w:rPr>
      </w:pPr>
      <w:r w:rsidRPr="00B8145A">
        <w:rPr>
          <w:rFonts w:ascii="Arial" w:hAnsi="Arial" w:cs="Arial"/>
          <w:szCs w:val="22"/>
          <w:lang w:val="en-US"/>
        </w:rPr>
        <w:t xml:space="preserve">The </w:t>
      </w:r>
      <w:r w:rsidR="00634971">
        <w:rPr>
          <w:rFonts w:ascii="Arial" w:hAnsi="Arial" w:cs="Arial"/>
          <w:szCs w:val="22"/>
          <w:lang w:val="en-US"/>
        </w:rPr>
        <w:t>consolidation</w:t>
      </w:r>
      <w:r w:rsidR="00634971" w:rsidRPr="00B8145A">
        <w:rPr>
          <w:rFonts w:ascii="Arial" w:hAnsi="Arial" w:cs="Arial"/>
          <w:szCs w:val="22"/>
          <w:lang w:val="en-US"/>
        </w:rPr>
        <w:t xml:space="preserve"> </w:t>
      </w:r>
      <w:r w:rsidR="00910515">
        <w:rPr>
          <w:rFonts w:ascii="Arial" w:hAnsi="Arial" w:cs="Arial"/>
          <w:szCs w:val="22"/>
          <w:lang w:val="en-US"/>
        </w:rPr>
        <w:t>focuses on coordinated</w:t>
      </w:r>
      <w:r w:rsidRPr="00B8145A">
        <w:rPr>
          <w:rFonts w:ascii="Arial" w:hAnsi="Arial" w:cs="Arial"/>
          <w:szCs w:val="22"/>
          <w:lang w:val="en-US"/>
        </w:rPr>
        <w:t xml:space="preserve"> production</w:t>
      </w:r>
      <w:r w:rsidR="00910515">
        <w:rPr>
          <w:rFonts w:ascii="Arial" w:hAnsi="Arial" w:cs="Arial"/>
          <w:szCs w:val="22"/>
          <w:lang w:val="en-US"/>
        </w:rPr>
        <w:t xml:space="preserve"> planning</w:t>
      </w:r>
      <w:r w:rsidRPr="00B8145A">
        <w:rPr>
          <w:rFonts w:ascii="Arial" w:hAnsi="Arial" w:cs="Arial"/>
          <w:szCs w:val="22"/>
          <w:lang w:val="en-US"/>
        </w:rPr>
        <w:t xml:space="preserve">, metallurgy, logistics, and sales across the three </w:t>
      </w:r>
      <w:r w:rsidR="00910515">
        <w:rPr>
          <w:rFonts w:ascii="Arial" w:hAnsi="Arial" w:cs="Arial"/>
          <w:szCs w:val="22"/>
          <w:lang w:val="en-US"/>
        </w:rPr>
        <w:t>entitie</w:t>
      </w:r>
      <w:r w:rsidR="000879CF">
        <w:rPr>
          <w:rFonts w:ascii="Arial" w:hAnsi="Arial" w:cs="Arial"/>
          <w:szCs w:val="22"/>
          <w:lang w:val="en-US"/>
        </w:rPr>
        <w:t>s.</w:t>
      </w:r>
      <w:r w:rsidRPr="00B8145A">
        <w:rPr>
          <w:rFonts w:ascii="Arial" w:hAnsi="Arial" w:cs="Arial"/>
          <w:szCs w:val="22"/>
          <w:lang w:val="en-US"/>
        </w:rPr>
        <w:t xml:space="preserve"> GMH Gruppe expects efficiency </w:t>
      </w:r>
      <w:r w:rsidR="005E48EF" w:rsidRPr="00B8145A">
        <w:rPr>
          <w:rFonts w:ascii="Arial" w:hAnsi="Arial" w:cs="Arial"/>
          <w:szCs w:val="22"/>
          <w:lang w:val="en-US"/>
        </w:rPr>
        <w:t xml:space="preserve">gains </w:t>
      </w:r>
      <w:r w:rsidR="005E48EF">
        <w:rPr>
          <w:rFonts w:ascii="Arial" w:hAnsi="Arial" w:cs="Arial"/>
          <w:szCs w:val="22"/>
          <w:lang w:val="en-US"/>
        </w:rPr>
        <w:t xml:space="preserve">through </w:t>
      </w:r>
      <w:r w:rsidRPr="00B8145A">
        <w:rPr>
          <w:rFonts w:ascii="Arial" w:hAnsi="Arial" w:cs="Arial"/>
          <w:szCs w:val="22"/>
          <w:lang w:val="en-US"/>
        </w:rPr>
        <w:t xml:space="preserve">joint </w:t>
      </w:r>
      <w:r w:rsidR="005E48EF">
        <w:rPr>
          <w:rFonts w:ascii="Arial" w:hAnsi="Arial" w:cs="Arial"/>
          <w:szCs w:val="22"/>
          <w:lang w:val="en-US"/>
        </w:rPr>
        <w:t>capacity management, aligned processes</w:t>
      </w:r>
      <w:r w:rsidR="00634971">
        <w:rPr>
          <w:rFonts w:ascii="Arial" w:hAnsi="Arial" w:cs="Arial"/>
          <w:szCs w:val="22"/>
          <w:lang w:val="en-US"/>
        </w:rPr>
        <w:t>,</w:t>
      </w:r>
      <w:r w:rsidR="005E48EF">
        <w:rPr>
          <w:rFonts w:ascii="Arial" w:hAnsi="Arial" w:cs="Arial"/>
          <w:szCs w:val="22"/>
          <w:lang w:val="en-US"/>
        </w:rPr>
        <w:t xml:space="preserve"> and </w:t>
      </w:r>
      <w:r w:rsidR="00AE1070">
        <w:rPr>
          <w:rFonts w:ascii="Arial" w:hAnsi="Arial" w:cs="Arial"/>
          <w:szCs w:val="22"/>
          <w:lang w:val="en-US"/>
        </w:rPr>
        <w:t xml:space="preserve">the </w:t>
      </w:r>
      <w:r w:rsidR="005E48EF">
        <w:rPr>
          <w:rFonts w:ascii="Arial" w:hAnsi="Arial" w:cs="Arial"/>
          <w:szCs w:val="22"/>
          <w:lang w:val="en-US"/>
        </w:rPr>
        <w:t>consolidation of interfaces</w:t>
      </w:r>
      <w:r w:rsidRPr="00B8145A">
        <w:rPr>
          <w:rFonts w:ascii="Arial" w:hAnsi="Arial" w:cs="Arial"/>
          <w:szCs w:val="22"/>
          <w:lang w:val="en-US"/>
        </w:rPr>
        <w:t>.</w:t>
      </w:r>
    </w:p>
    <w:p w14:paraId="40FC8AB4" w14:textId="77777777" w:rsidR="004A53A6" w:rsidRDefault="004A53A6" w:rsidP="00A36BB5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B40A339" w14:textId="293C999E" w:rsidR="00A36BB5" w:rsidRPr="00A8416C" w:rsidRDefault="00634971" w:rsidP="00A36BB5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Precise</w:t>
      </w:r>
      <w:r w:rsidRPr="00A8416C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A36BB5" w:rsidRPr="00A8416C">
        <w:rPr>
          <w:rFonts w:ascii="Arial" w:hAnsi="Arial" w:cs="Arial"/>
          <w:b/>
          <w:bCs/>
          <w:sz w:val="22"/>
          <w:szCs w:val="22"/>
          <w:lang w:val="en-US"/>
        </w:rPr>
        <w:t>positioning of the three brands within GMH Gruppe</w:t>
      </w:r>
    </w:p>
    <w:p w14:paraId="0CBBD985" w14:textId="235E2114" w:rsidR="00A36BB5" w:rsidRPr="00A8416C" w:rsidRDefault="00A36BB5" w:rsidP="00A36BB5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79C2C534" w14:textId="6C40CB15" w:rsidR="00A36BB5" w:rsidRDefault="00A36BB5" w:rsidP="00A36BB5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8416C">
        <w:rPr>
          <w:rFonts w:ascii="Arial" w:hAnsi="Arial" w:cs="Arial"/>
          <w:sz w:val="22"/>
          <w:szCs w:val="22"/>
          <w:lang w:val="en-US"/>
        </w:rPr>
        <w:t>The integrated group assigns each company a defined industrial focus:</w:t>
      </w:r>
    </w:p>
    <w:p w14:paraId="627BC88A" w14:textId="77777777" w:rsidR="00A8416C" w:rsidRPr="00A8416C" w:rsidRDefault="00A8416C" w:rsidP="00A36BB5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00DA2E19" w14:textId="7458E83F" w:rsidR="008A6D98" w:rsidRPr="00A8416C" w:rsidRDefault="00A36BB5" w:rsidP="00D95941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A8416C">
        <w:rPr>
          <w:rFonts w:ascii="Arial" w:hAnsi="Arial" w:cs="Arial"/>
          <w:sz w:val="22"/>
          <w:szCs w:val="22"/>
          <w:lang w:val="en-US"/>
        </w:rPr>
        <w:t>Kind &amp; Co</w:t>
      </w:r>
      <w:r w:rsidR="00216124">
        <w:rPr>
          <w:rFonts w:ascii="Arial" w:hAnsi="Arial" w:cs="Arial"/>
          <w:sz w:val="22"/>
          <w:szCs w:val="22"/>
          <w:lang w:val="en-US"/>
        </w:rPr>
        <w:t>.</w:t>
      </w:r>
      <w:r w:rsidRPr="00A8416C">
        <w:rPr>
          <w:rFonts w:ascii="Arial" w:hAnsi="Arial" w:cs="Arial"/>
          <w:sz w:val="22"/>
          <w:szCs w:val="22"/>
          <w:lang w:val="en-US"/>
        </w:rPr>
        <w:t xml:space="preserve"> – </w:t>
      </w:r>
      <w:r w:rsidR="0098787C" w:rsidRPr="00A8416C">
        <w:rPr>
          <w:rFonts w:ascii="Arial" w:hAnsi="Arial" w:cs="Arial"/>
          <w:sz w:val="22"/>
          <w:szCs w:val="22"/>
          <w:lang w:val="en-US"/>
        </w:rPr>
        <w:t>Hot-work, premium, and remelted tool steels for technically demanding applications, with a strong focus on end-user business, including technical application support and vacuum hardening services.</w:t>
      </w:r>
    </w:p>
    <w:p w14:paraId="2AE8B0B9" w14:textId="23F48F9E" w:rsidR="00A8416C" w:rsidRDefault="00A36BB5" w:rsidP="00216124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A8416C">
        <w:rPr>
          <w:rFonts w:ascii="Arial" w:hAnsi="Arial" w:cs="Arial"/>
          <w:sz w:val="22"/>
          <w:szCs w:val="22"/>
          <w:lang w:val="en-US"/>
        </w:rPr>
        <w:t xml:space="preserve">Schmiedewerke Gröditz – </w:t>
      </w:r>
      <w:r w:rsidR="0006371E" w:rsidRPr="00A8416C">
        <w:rPr>
          <w:rFonts w:ascii="Arial" w:hAnsi="Arial" w:cs="Arial"/>
          <w:sz w:val="22"/>
          <w:szCs w:val="22"/>
          <w:lang w:val="en-US"/>
        </w:rPr>
        <w:t>Elaborated open-die forgings, rolled rings, engineering steels, and engineered forged components for plastic moulding, as well as stainless steel and remelted steel (ESR).</w:t>
      </w:r>
    </w:p>
    <w:p w14:paraId="486EFA0D" w14:textId="3A56B19D" w:rsidR="00216124" w:rsidRDefault="00A36BB5" w:rsidP="00216124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A8416C">
        <w:rPr>
          <w:rFonts w:ascii="Arial" w:hAnsi="Arial" w:cs="Arial"/>
          <w:sz w:val="22"/>
          <w:szCs w:val="22"/>
          <w:lang w:val="en-US"/>
        </w:rPr>
        <w:t xml:space="preserve">Buderus Edelstahl – </w:t>
      </w:r>
      <w:r w:rsidR="00AB152A" w:rsidRPr="00A8416C">
        <w:rPr>
          <w:rFonts w:ascii="Arial" w:hAnsi="Arial" w:cs="Arial"/>
          <w:sz w:val="22"/>
          <w:szCs w:val="22"/>
          <w:lang w:val="en-US"/>
        </w:rPr>
        <w:t>Full-service tool steel provider for large components, plastic moulding, tool holders and die bolsters, with high machining depth and engineering steels.</w:t>
      </w:r>
    </w:p>
    <w:p w14:paraId="60503D76" w14:textId="77777777" w:rsidR="00A8416C" w:rsidRPr="00A8416C" w:rsidRDefault="00A8416C" w:rsidP="00A8416C">
      <w:pPr>
        <w:pStyle w:val="Default"/>
        <w:ind w:left="720"/>
        <w:jc w:val="both"/>
        <w:rPr>
          <w:rFonts w:ascii="Arial" w:hAnsi="Arial" w:cs="Arial"/>
          <w:sz w:val="22"/>
          <w:szCs w:val="22"/>
          <w:lang w:val="en-US"/>
        </w:rPr>
      </w:pPr>
    </w:p>
    <w:p w14:paraId="6E3F1C7C" w14:textId="78365478" w:rsidR="00004D54" w:rsidRPr="00A8416C" w:rsidRDefault="00004D54" w:rsidP="00216124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216124">
        <w:rPr>
          <w:rFonts w:ascii="Arial" w:hAnsi="Arial" w:cs="Arial"/>
          <w:sz w:val="22"/>
          <w:szCs w:val="22"/>
          <w:lang w:val="en-US"/>
        </w:rPr>
        <w:t>This clear differentiation allows GMH Gruppe to address distinct customer requirements across a wide range of applications. By offering standard, performance-optimi</w:t>
      </w:r>
      <w:r w:rsidR="004F18A5">
        <w:rPr>
          <w:rFonts w:ascii="Arial" w:hAnsi="Arial" w:cs="Arial"/>
          <w:sz w:val="22"/>
          <w:szCs w:val="22"/>
          <w:lang w:val="en-US"/>
        </w:rPr>
        <w:t>s</w:t>
      </w:r>
      <w:r w:rsidRPr="00216124">
        <w:rPr>
          <w:rFonts w:ascii="Arial" w:hAnsi="Arial" w:cs="Arial"/>
          <w:sz w:val="22"/>
          <w:szCs w:val="22"/>
          <w:lang w:val="en-US"/>
        </w:rPr>
        <w:t>ed</w:t>
      </w:r>
      <w:r w:rsidR="00634971">
        <w:rPr>
          <w:rFonts w:ascii="Arial" w:hAnsi="Arial" w:cs="Arial"/>
          <w:sz w:val="22"/>
          <w:szCs w:val="22"/>
          <w:lang w:val="en-US"/>
        </w:rPr>
        <w:t>,</w:t>
      </w:r>
      <w:r w:rsidRPr="00216124">
        <w:rPr>
          <w:rFonts w:ascii="Arial" w:hAnsi="Arial" w:cs="Arial"/>
          <w:sz w:val="22"/>
          <w:szCs w:val="22"/>
          <w:lang w:val="en-US"/>
        </w:rPr>
        <w:t xml:space="preserve"> and premium solutions within the Open-Die Forging Group, GMH Gruppe enables customers to select the solution best suited to their technical requirements and expected service life, </w:t>
      </w:r>
      <w:r w:rsidR="004A53A6">
        <w:rPr>
          <w:rFonts w:ascii="Arial" w:hAnsi="Arial" w:cs="Arial"/>
          <w:sz w:val="22"/>
          <w:szCs w:val="22"/>
          <w:lang w:val="en-US"/>
        </w:rPr>
        <w:t xml:space="preserve">thereby </w:t>
      </w:r>
      <w:r w:rsidRPr="00216124">
        <w:rPr>
          <w:rFonts w:ascii="Arial" w:hAnsi="Arial" w:cs="Arial"/>
          <w:sz w:val="22"/>
          <w:szCs w:val="22"/>
          <w:lang w:val="en-US"/>
        </w:rPr>
        <w:t>supporting operational efficiency and reduc</w:t>
      </w:r>
      <w:r w:rsidR="004A53A6">
        <w:rPr>
          <w:rFonts w:ascii="Arial" w:hAnsi="Arial" w:cs="Arial"/>
          <w:sz w:val="22"/>
          <w:szCs w:val="22"/>
          <w:lang w:val="en-US"/>
        </w:rPr>
        <w:t>ing</w:t>
      </w:r>
      <w:r w:rsidRPr="00216124">
        <w:rPr>
          <w:rFonts w:ascii="Arial" w:hAnsi="Arial" w:cs="Arial"/>
          <w:sz w:val="22"/>
          <w:szCs w:val="22"/>
          <w:lang w:val="en-US"/>
        </w:rPr>
        <w:t xml:space="preserve"> total cost of ownership.</w:t>
      </w:r>
    </w:p>
    <w:p w14:paraId="1E17742B" w14:textId="77777777" w:rsidR="00216124" w:rsidRDefault="00216124" w:rsidP="00A36BB5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03311B41" w14:textId="02085512" w:rsidR="00A36BB5" w:rsidRPr="00A8416C" w:rsidRDefault="00A36BB5" w:rsidP="00A36BB5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8416C">
        <w:rPr>
          <w:rFonts w:ascii="Arial" w:hAnsi="Arial" w:cs="Arial"/>
          <w:sz w:val="22"/>
          <w:szCs w:val="22"/>
          <w:lang w:val="en-US"/>
        </w:rPr>
        <w:t xml:space="preserve">Together, the three </w:t>
      </w:r>
      <w:r w:rsidR="008C0548" w:rsidRPr="00A8416C">
        <w:rPr>
          <w:rFonts w:ascii="Arial" w:hAnsi="Arial" w:cs="Arial"/>
          <w:sz w:val="22"/>
          <w:szCs w:val="22"/>
          <w:lang w:val="en-US"/>
        </w:rPr>
        <w:t>companies</w:t>
      </w:r>
      <w:r w:rsidRPr="00A8416C">
        <w:rPr>
          <w:rFonts w:ascii="Arial" w:hAnsi="Arial" w:cs="Arial"/>
          <w:sz w:val="22"/>
          <w:szCs w:val="22"/>
          <w:lang w:val="en-US"/>
        </w:rPr>
        <w:t xml:space="preserve"> cover the full tool steel and</w:t>
      </w:r>
      <w:r w:rsidR="008C0548" w:rsidRPr="00A8416C">
        <w:rPr>
          <w:rFonts w:ascii="Arial" w:hAnsi="Arial" w:cs="Arial"/>
          <w:sz w:val="22"/>
          <w:szCs w:val="22"/>
          <w:lang w:val="en-US"/>
        </w:rPr>
        <w:t xml:space="preserve"> open</w:t>
      </w:r>
      <w:r w:rsidR="004F18A5">
        <w:rPr>
          <w:rFonts w:ascii="Arial" w:hAnsi="Arial" w:cs="Arial"/>
          <w:sz w:val="22"/>
          <w:szCs w:val="22"/>
          <w:lang w:val="en-US"/>
        </w:rPr>
        <w:t>-</w:t>
      </w:r>
      <w:r w:rsidR="008C0548" w:rsidRPr="00A8416C">
        <w:rPr>
          <w:rFonts w:ascii="Arial" w:hAnsi="Arial" w:cs="Arial"/>
          <w:sz w:val="22"/>
          <w:szCs w:val="22"/>
          <w:lang w:val="en-US"/>
        </w:rPr>
        <w:t>die</w:t>
      </w:r>
      <w:r w:rsidRPr="00A8416C">
        <w:rPr>
          <w:rFonts w:ascii="Arial" w:hAnsi="Arial" w:cs="Arial"/>
          <w:sz w:val="22"/>
          <w:szCs w:val="22"/>
          <w:lang w:val="en-US"/>
        </w:rPr>
        <w:t xml:space="preserve"> forging value chain — </w:t>
      </w:r>
      <w:r w:rsidR="00875DAC" w:rsidRPr="00A8416C">
        <w:rPr>
          <w:rFonts w:ascii="Arial" w:hAnsi="Arial" w:cs="Arial"/>
          <w:sz w:val="22"/>
          <w:szCs w:val="22"/>
          <w:lang w:val="en-US"/>
        </w:rPr>
        <w:t>from scrap and melting to remelting, forging, machining, heat treatment</w:t>
      </w:r>
      <w:r w:rsidR="004A53A6">
        <w:rPr>
          <w:rFonts w:ascii="Arial" w:hAnsi="Arial" w:cs="Arial"/>
          <w:sz w:val="22"/>
          <w:szCs w:val="22"/>
          <w:lang w:val="en-US"/>
        </w:rPr>
        <w:t>,</w:t>
      </w:r>
      <w:r w:rsidR="00875DAC" w:rsidRPr="00A8416C">
        <w:rPr>
          <w:rFonts w:ascii="Arial" w:hAnsi="Arial" w:cs="Arial"/>
          <w:sz w:val="22"/>
          <w:szCs w:val="22"/>
          <w:lang w:val="en-US"/>
        </w:rPr>
        <w:t xml:space="preserve"> and distribution</w:t>
      </w:r>
      <w:r w:rsidRPr="00A8416C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773F4C70" w14:textId="77777777" w:rsidR="00E55A39" w:rsidRPr="00A8416C" w:rsidRDefault="00E55A39" w:rsidP="003F1C46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CF27767" w14:textId="57538903" w:rsidR="00E55A39" w:rsidRPr="00A8416C" w:rsidRDefault="00E55A39" w:rsidP="00E55A39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A8416C">
        <w:rPr>
          <w:rFonts w:ascii="Arial" w:hAnsi="Arial" w:cs="Arial"/>
          <w:b/>
          <w:bCs/>
          <w:sz w:val="22"/>
          <w:szCs w:val="22"/>
          <w:lang w:val="en-US"/>
        </w:rPr>
        <w:t xml:space="preserve">Broad portfolio: </w:t>
      </w:r>
      <w:r w:rsidR="00634971">
        <w:rPr>
          <w:rFonts w:ascii="Arial" w:hAnsi="Arial" w:cs="Arial"/>
          <w:b/>
          <w:bCs/>
          <w:sz w:val="22"/>
          <w:szCs w:val="22"/>
          <w:lang w:val="en-US"/>
        </w:rPr>
        <w:t>F</w:t>
      </w:r>
      <w:r w:rsidR="00634971" w:rsidRPr="00A8416C">
        <w:rPr>
          <w:rFonts w:ascii="Arial" w:hAnsi="Arial" w:cs="Arial"/>
          <w:b/>
          <w:bCs/>
          <w:sz w:val="22"/>
          <w:szCs w:val="22"/>
          <w:lang w:val="en-US"/>
        </w:rPr>
        <w:t xml:space="preserve">rom </w:t>
      </w:r>
      <w:r w:rsidRPr="00A8416C">
        <w:rPr>
          <w:rFonts w:ascii="Arial" w:hAnsi="Arial" w:cs="Arial"/>
          <w:b/>
          <w:bCs/>
          <w:sz w:val="22"/>
          <w:szCs w:val="22"/>
          <w:lang w:val="en-US"/>
        </w:rPr>
        <w:t>commodity grades to premium remelted steels</w:t>
      </w:r>
    </w:p>
    <w:p w14:paraId="7CBDDF71" w14:textId="77777777" w:rsidR="00E55A39" w:rsidRPr="00A8416C" w:rsidRDefault="00E55A39" w:rsidP="00E55A39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25FF8B10" w14:textId="3ABC1706" w:rsidR="00290CD1" w:rsidRPr="00A8416C" w:rsidRDefault="00290CD1" w:rsidP="00290CD1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8416C">
        <w:rPr>
          <w:rFonts w:ascii="Arial" w:hAnsi="Arial" w:cs="Arial"/>
          <w:sz w:val="22"/>
          <w:szCs w:val="22"/>
          <w:lang w:val="en-US"/>
        </w:rPr>
        <w:t>Across the integrated group, more than 400 steel grades and over 2,500 analysis modifications are available</w:t>
      </w:r>
      <w:r w:rsidR="008F7B52">
        <w:rPr>
          <w:rFonts w:ascii="Arial" w:hAnsi="Arial" w:cs="Arial"/>
          <w:sz w:val="22"/>
          <w:szCs w:val="22"/>
          <w:lang w:val="en-US"/>
        </w:rPr>
        <w:t>,</w:t>
      </w:r>
      <w:r w:rsidRPr="00A8416C">
        <w:rPr>
          <w:rFonts w:ascii="Arial" w:hAnsi="Arial" w:cs="Arial"/>
          <w:sz w:val="22"/>
          <w:szCs w:val="22"/>
          <w:lang w:val="en-US"/>
        </w:rPr>
        <w:t xml:space="preserve"> ranging from commodity tool steels to high-end remelted qualities.</w:t>
      </w:r>
    </w:p>
    <w:p w14:paraId="5786AFAA" w14:textId="5CCC2056" w:rsidR="00290CD1" w:rsidRPr="00A8416C" w:rsidRDefault="00290CD1" w:rsidP="00290CD1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8416C">
        <w:rPr>
          <w:rFonts w:ascii="Arial" w:hAnsi="Arial" w:cs="Arial"/>
          <w:sz w:val="22"/>
          <w:szCs w:val="22"/>
          <w:lang w:val="en-US"/>
        </w:rPr>
        <w:t>Production also includes small quantities and small-format components, supplied directly from a single source. This flexibility is relevant for industries requiring short runs, prototypes</w:t>
      </w:r>
      <w:r w:rsidR="008F7B52">
        <w:rPr>
          <w:rFonts w:ascii="Arial" w:hAnsi="Arial" w:cs="Arial"/>
          <w:sz w:val="22"/>
          <w:szCs w:val="22"/>
          <w:lang w:val="en-US"/>
        </w:rPr>
        <w:t>,</w:t>
      </w:r>
      <w:r w:rsidRPr="00A8416C">
        <w:rPr>
          <w:rFonts w:ascii="Arial" w:hAnsi="Arial" w:cs="Arial"/>
          <w:sz w:val="22"/>
          <w:szCs w:val="22"/>
          <w:lang w:val="en-US"/>
        </w:rPr>
        <w:t xml:space="preserve"> or speciali</w:t>
      </w:r>
      <w:r w:rsidR="008F7B52">
        <w:rPr>
          <w:rFonts w:ascii="Arial" w:hAnsi="Arial" w:cs="Arial"/>
          <w:sz w:val="22"/>
          <w:szCs w:val="22"/>
          <w:lang w:val="en-US"/>
        </w:rPr>
        <w:t>s</w:t>
      </w:r>
      <w:r w:rsidRPr="00A8416C">
        <w:rPr>
          <w:rFonts w:ascii="Arial" w:hAnsi="Arial" w:cs="Arial"/>
          <w:sz w:val="22"/>
          <w:szCs w:val="22"/>
          <w:lang w:val="en-US"/>
        </w:rPr>
        <w:t>ed geometries.</w:t>
      </w:r>
    </w:p>
    <w:p w14:paraId="01BD71F3" w14:textId="77777777" w:rsidR="00A8416C" w:rsidRDefault="00A8416C" w:rsidP="003F1C46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62ED63D" w14:textId="77777777" w:rsidR="003873F3" w:rsidRDefault="003873F3" w:rsidP="003F1C46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9CE2CED" w14:textId="77777777" w:rsidR="003873F3" w:rsidRDefault="003873F3" w:rsidP="003F1C46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34CA7A1" w14:textId="77777777" w:rsidR="003873F3" w:rsidRDefault="003873F3" w:rsidP="003F1C46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00F4BCC" w14:textId="77777777" w:rsidR="003873F3" w:rsidRDefault="003873F3" w:rsidP="003F1C46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31B0D69" w14:textId="77777777" w:rsidR="003873F3" w:rsidRDefault="003873F3" w:rsidP="003F1C46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0E76FEF" w14:textId="77777777" w:rsidR="003873F3" w:rsidRDefault="003873F3" w:rsidP="003F1C46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BDD6AB3" w14:textId="1E01774F" w:rsidR="0075692E" w:rsidRPr="00216124" w:rsidRDefault="0075692E" w:rsidP="0075692E">
      <w:pPr>
        <w:pStyle w:val="Default"/>
        <w:jc w:val="both"/>
        <w:rPr>
          <w:rFonts w:ascii="Arial" w:hAnsi="Arial" w:cs="Arial"/>
          <w:i/>
          <w:iCs/>
          <w:sz w:val="22"/>
          <w:szCs w:val="22"/>
          <w:lang w:val="en-US"/>
        </w:rPr>
      </w:pPr>
      <w:r w:rsidRPr="00216124">
        <w:rPr>
          <w:rFonts w:ascii="Arial" w:hAnsi="Arial" w:cs="Arial"/>
          <w:i/>
          <w:iCs/>
          <w:sz w:val="22"/>
          <w:szCs w:val="22"/>
          <w:lang w:val="en-US"/>
        </w:rPr>
        <w:lastRenderedPageBreak/>
        <w:t>“With the merger of Kind &amp; Co</w:t>
      </w:r>
      <w:r>
        <w:rPr>
          <w:rFonts w:ascii="Arial" w:hAnsi="Arial" w:cs="Arial"/>
          <w:i/>
          <w:iCs/>
          <w:sz w:val="22"/>
          <w:szCs w:val="22"/>
          <w:lang w:val="en-US"/>
        </w:rPr>
        <w:t>.</w:t>
      </w:r>
      <w:r w:rsidRPr="00216124">
        <w:rPr>
          <w:rFonts w:ascii="Arial" w:hAnsi="Arial" w:cs="Arial"/>
          <w:i/>
          <w:iCs/>
          <w:sz w:val="22"/>
          <w:szCs w:val="22"/>
          <w:lang w:val="en-US"/>
        </w:rPr>
        <w:t xml:space="preserve">, Schmiedewerke Gröditz and Buderus Edelstahl into the GMH Open-Die Forging Group, we are bringing together three strong companies to form an </w:t>
      </w:r>
      <w:r w:rsidR="008F7B52" w:rsidRPr="00216124">
        <w:rPr>
          <w:rFonts w:ascii="Arial" w:hAnsi="Arial" w:cs="Arial"/>
          <w:i/>
          <w:iCs/>
          <w:sz w:val="22"/>
          <w:szCs w:val="22"/>
          <w:lang w:val="en-US"/>
        </w:rPr>
        <w:t>organi</w:t>
      </w:r>
      <w:r w:rsidR="008F7B52">
        <w:rPr>
          <w:rFonts w:ascii="Arial" w:hAnsi="Arial" w:cs="Arial"/>
          <w:i/>
          <w:iCs/>
          <w:sz w:val="22"/>
          <w:szCs w:val="22"/>
          <w:lang w:val="en-US"/>
        </w:rPr>
        <w:t>s</w:t>
      </w:r>
      <w:r w:rsidR="008F7B52" w:rsidRPr="00216124">
        <w:rPr>
          <w:rFonts w:ascii="Arial" w:hAnsi="Arial" w:cs="Arial"/>
          <w:i/>
          <w:iCs/>
          <w:sz w:val="22"/>
          <w:szCs w:val="22"/>
          <w:lang w:val="en-US"/>
        </w:rPr>
        <w:t xml:space="preserve">ation </w:t>
      </w:r>
      <w:r w:rsidRPr="00216124">
        <w:rPr>
          <w:rFonts w:ascii="Arial" w:hAnsi="Arial" w:cs="Arial"/>
          <w:i/>
          <w:iCs/>
          <w:sz w:val="22"/>
          <w:szCs w:val="22"/>
          <w:lang w:val="en-US"/>
        </w:rPr>
        <w:t>with a unique product and service portfolio.</w:t>
      </w:r>
    </w:p>
    <w:p w14:paraId="38532B6C" w14:textId="60EB32FD" w:rsidR="0075692E" w:rsidRPr="00045DAD" w:rsidRDefault="0075692E" w:rsidP="0075692E">
      <w:pPr>
        <w:pStyle w:val="Default"/>
        <w:jc w:val="both"/>
        <w:rPr>
          <w:rFonts w:ascii="Arial" w:hAnsi="Arial" w:cs="Arial"/>
          <w:sz w:val="22"/>
          <w:szCs w:val="22"/>
          <w:lang w:val="en-GB"/>
        </w:rPr>
      </w:pPr>
      <w:r w:rsidRPr="00216124">
        <w:rPr>
          <w:rFonts w:ascii="Arial" w:hAnsi="Arial" w:cs="Arial"/>
          <w:i/>
          <w:iCs/>
          <w:sz w:val="22"/>
          <w:szCs w:val="22"/>
          <w:lang w:val="en-US"/>
        </w:rPr>
        <w:t>As a full-service provider of highly complex open-die forgings, tool steel, engineering steel</w:t>
      </w:r>
      <w:r w:rsidR="008F7B52">
        <w:rPr>
          <w:rFonts w:ascii="Arial" w:hAnsi="Arial" w:cs="Arial"/>
          <w:i/>
          <w:iCs/>
          <w:sz w:val="22"/>
          <w:szCs w:val="22"/>
          <w:lang w:val="en-US"/>
        </w:rPr>
        <w:t>,</w:t>
      </w:r>
      <w:r w:rsidRPr="00216124">
        <w:rPr>
          <w:rFonts w:ascii="Arial" w:hAnsi="Arial" w:cs="Arial"/>
          <w:i/>
          <w:iCs/>
          <w:sz w:val="22"/>
          <w:szCs w:val="22"/>
          <w:lang w:val="en-US"/>
        </w:rPr>
        <w:t xml:space="preserve"> and seamless rolled rings, we offer our customers fully integrated solutions from a single source – ranging from technological consulting for demanding applications to in-house steel production and refining, forging operations, heat treatment</w:t>
      </w:r>
      <w:r w:rsidR="008F7B52">
        <w:rPr>
          <w:rFonts w:ascii="Arial" w:hAnsi="Arial" w:cs="Arial"/>
          <w:i/>
          <w:iCs/>
          <w:sz w:val="22"/>
          <w:szCs w:val="22"/>
          <w:lang w:val="en-US"/>
        </w:rPr>
        <w:t>,</w:t>
      </w:r>
      <w:r w:rsidRPr="00216124">
        <w:rPr>
          <w:rFonts w:ascii="Arial" w:hAnsi="Arial" w:cs="Arial"/>
          <w:i/>
          <w:iCs/>
          <w:sz w:val="22"/>
          <w:szCs w:val="22"/>
          <w:lang w:val="en-US"/>
        </w:rPr>
        <w:t xml:space="preserve"> and complex machining.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r w:rsidRPr="00216124">
        <w:rPr>
          <w:rFonts w:ascii="Arial" w:hAnsi="Arial" w:cs="Arial"/>
          <w:i/>
          <w:iCs/>
          <w:sz w:val="22"/>
          <w:szCs w:val="22"/>
          <w:lang w:val="en-US"/>
        </w:rPr>
        <w:t xml:space="preserve">This depth of value creation enables efficient, well-coordinated processes and ensures </w:t>
      </w:r>
      <w:r w:rsidR="008F7B52">
        <w:rPr>
          <w:rFonts w:ascii="Arial" w:hAnsi="Arial" w:cs="Arial"/>
          <w:i/>
          <w:iCs/>
          <w:sz w:val="22"/>
          <w:szCs w:val="22"/>
          <w:lang w:val="en-US"/>
        </w:rPr>
        <w:t xml:space="preserve">the </w:t>
      </w:r>
      <w:r w:rsidRPr="00216124">
        <w:rPr>
          <w:rFonts w:ascii="Arial" w:hAnsi="Arial" w:cs="Arial"/>
          <w:i/>
          <w:iCs/>
          <w:sz w:val="22"/>
          <w:szCs w:val="22"/>
          <w:lang w:val="en-US"/>
        </w:rPr>
        <w:t xml:space="preserve">highest quality and </w:t>
      </w:r>
      <w:r w:rsidR="008F7B52">
        <w:rPr>
          <w:rFonts w:ascii="Arial" w:hAnsi="Arial" w:cs="Arial"/>
          <w:i/>
          <w:iCs/>
          <w:sz w:val="22"/>
          <w:szCs w:val="22"/>
          <w:lang w:val="en-US"/>
        </w:rPr>
        <w:t xml:space="preserve">a </w:t>
      </w:r>
      <w:r w:rsidRPr="00216124">
        <w:rPr>
          <w:rFonts w:ascii="Arial" w:hAnsi="Arial" w:cs="Arial"/>
          <w:i/>
          <w:iCs/>
          <w:sz w:val="22"/>
          <w:szCs w:val="22"/>
          <w:lang w:val="en-US"/>
        </w:rPr>
        <w:t>reliable supply for our valued customers</w:t>
      </w:r>
      <w:r w:rsidR="00205395">
        <w:rPr>
          <w:rFonts w:ascii="Arial" w:hAnsi="Arial" w:cs="Arial"/>
          <w:i/>
          <w:iCs/>
          <w:sz w:val="22"/>
          <w:szCs w:val="22"/>
          <w:lang w:val="en-US"/>
        </w:rPr>
        <w:t>,</w:t>
      </w:r>
      <w:r w:rsidR="008F7B52" w:rsidRPr="00216124">
        <w:rPr>
          <w:rFonts w:ascii="Arial" w:hAnsi="Arial" w:cs="Arial"/>
          <w:i/>
          <w:iCs/>
          <w:sz w:val="22"/>
          <w:szCs w:val="22"/>
          <w:lang w:val="en-US"/>
        </w:rPr>
        <w:t>”</w:t>
      </w:r>
      <w:r w:rsidRPr="00045DAD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 xml:space="preserve">explains </w:t>
      </w:r>
      <w:r w:rsidRPr="00045DAD">
        <w:rPr>
          <w:rFonts w:ascii="Arial" w:hAnsi="Arial" w:cs="Arial"/>
          <w:sz w:val="22"/>
          <w:szCs w:val="22"/>
          <w:lang w:val="en-GB"/>
        </w:rPr>
        <w:t xml:space="preserve">Dr. Alexander Becker, </w:t>
      </w:r>
      <w:r w:rsidR="00205395">
        <w:rPr>
          <w:rFonts w:ascii="Arial" w:hAnsi="Arial" w:cs="Arial"/>
          <w:sz w:val="22"/>
          <w:szCs w:val="22"/>
          <w:lang w:val="en-GB"/>
        </w:rPr>
        <w:t xml:space="preserve">the </w:t>
      </w:r>
      <w:r w:rsidRPr="00045DAD">
        <w:rPr>
          <w:rFonts w:ascii="Arial" w:hAnsi="Arial" w:cs="Arial"/>
          <w:sz w:val="22"/>
          <w:szCs w:val="22"/>
          <w:lang w:val="en-GB"/>
        </w:rPr>
        <w:t>CEO</w:t>
      </w:r>
      <w:r w:rsidR="00205395">
        <w:rPr>
          <w:rFonts w:ascii="Arial" w:hAnsi="Arial" w:cs="Arial"/>
          <w:sz w:val="22"/>
          <w:szCs w:val="22"/>
          <w:lang w:val="en-GB"/>
        </w:rPr>
        <w:t xml:space="preserve"> of</w:t>
      </w:r>
      <w:r w:rsidRPr="00045DAD">
        <w:rPr>
          <w:rFonts w:ascii="Arial" w:hAnsi="Arial" w:cs="Arial"/>
          <w:sz w:val="22"/>
          <w:szCs w:val="22"/>
          <w:lang w:val="en-GB"/>
        </w:rPr>
        <w:t xml:space="preserve"> GMH Gruppe</w:t>
      </w:r>
      <w:r w:rsidR="00205395">
        <w:rPr>
          <w:rFonts w:ascii="Arial" w:hAnsi="Arial" w:cs="Arial"/>
          <w:sz w:val="22"/>
          <w:szCs w:val="22"/>
          <w:lang w:val="en-GB"/>
        </w:rPr>
        <w:t>.</w:t>
      </w:r>
    </w:p>
    <w:p w14:paraId="4EE1A6A4" w14:textId="77777777" w:rsidR="00A8416C" w:rsidRDefault="00A8416C" w:rsidP="002B79E7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4B26C7E" w14:textId="5BC926C8" w:rsidR="002B79E7" w:rsidRPr="00A8416C" w:rsidRDefault="00F56336" w:rsidP="002B79E7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A8416C">
        <w:rPr>
          <w:rFonts w:ascii="Arial" w:hAnsi="Arial" w:cs="Arial"/>
          <w:b/>
          <w:bCs/>
          <w:sz w:val="22"/>
          <w:szCs w:val="22"/>
          <w:lang w:val="en-US"/>
        </w:rPr>
        <w:t>Contribution to industrial supply security</w:t>
      </w:r>
    </w:p>
    <w:p w14:paraId="01987182" w14:textId="77777777" w:rsidR="00F56336" w:rsidRPr="00A8416C" w:rsidRDefault="00F56336" w:rsidP="002B79E7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5380E8C1" w14:textId="13DDE55C" w:rsidR="002B79E7" w:rsidRPr="00A8416C" w:rsidRDefault="00C56B90" w:rsidP="002B79E7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8416C">
        <w:rPr>
          <w:rFonts w:ascii="Arial" w:hAnsi="Arial" w:cs="Arial"/>
          <w:sz w:val="22"/>
          <w:szCs w:val="22"/>
          <w:lang w:val="en-US"/>
        </w:rPr>
        <w:t>The integration aligns with increasing demand for reliable European sourcing in sectors such as automotive, mechanical engineering</w:t>
      </w:r>
      <w:r w:rsidR="008F7B52">
        <w:rPr>
          <w:rFonts w:ascii="Arial" w:hAnsi="Arial" w:cs="Arial"/>
          <w:sz w:val="22"/>
          <w:szCs w:val="22"/>
          <w:lang w:val="en-US"/>
        </w:rPr>
        <w:t>,</w:t>
      </w:r>
      <w:r w:rsidRPr="00A8416C">
        <w:rPr>
          <w:rFonts w:ascii="Arial" w:hAnsi="Arial" w:cs="Arial"/>
          <w:sz w:val="22"/>
          <w:szCs w:val="22"/>
          <w:lang w:val="en-US"/>
        </w:rPr>
        <w:t xml:space="preserve"> and die-casting. Combined inventories in Germany, Italy, China</w:t>
      </w:r>
      <w:r w:rsidR="008F7B52">
        <w:rPr>
          <w:rFonts w:ascii="Arial" w:hAnsi="Arial" w:cs="Arial"/>
          <w:sz w:val="22"/>
          <w:szCs w:val="22"/>
          <w:lang w:val="en-US"/>
        </w:rPr>
        <w:t>,</w:t>
      </w:r>
      <w:r w:rsidRPr="00A8416C">
        <w:rPr>
          <w:rFonts w:ascii="Arial" w:hAnsi="Arial" w:cs="Arial"/>
          <w:sz w:val="22"/>
          <w:szCs w:val="22"/>
          <w:lang w:val="en-US"/>
        </w:rPr>
        <w:t xml:space="preserve"> and the USA are intended to improve material availability and mitigate volatility in international supply chains. </w:t>
      </w:r>
      <w:r w:rsidR="002B79E7" w:rsidRPr="00A8416C">
        <w:rPr>
          <w:rFonts w:ascii="Arial" w:hAnsi="Arial" w:cs="Arial"/>
          <w:sz w:val="22"/>
          <w:szCs w:val="22"/>
          <w:lang w:val="en-US"/>
        </w:rPr>
        <w:t xml:space="preserve">Annual output across the integrated portfolio </w:t>
      </w:r>
      <w:r w:rsidR="008F7B52">
        <w:rPr>
          <w:rFonts w:ascii="Arial" w:hAnsi="Arial" w:cs="Arial"/>
          <w:sz w:val="22"/>
          <w:szCs w:val="22"/>
          <w:lang w:val="en-US"/>
        </w:rPr>
        <w:t>exceeds</w:t>
      </w:r>
      <w:r w:rsidR="00686324" w:rsidRPr="00A8416C">
        <w:rPr>
          <w:rFonts w:ascii="Arial" w:hAnsi="Arial" w:cs="Arial"/>
          <w:sz w:val="22"/>
          <w:szCs w:val="22"/>
          <w:lang w:val="en-US"/>
        </w:rPr>
        <w:t xml:space="preserve"> 100</w:t>
      </w:r>
      <w:r w:rsidR="0028480C" w:rsidRPr="00A8416C">
        <w:rPr>
          <w:rFonts w:ascii="Arial" w:hAnsi="Arial" w:cs="Arial"/>
          <w:sz w:val="22"/>
          <w:szCs w:val="22"/>
          <w:lang w:val="en-US"/>
        </w:rPr>
        <w:t>,000</w:t>
      </w:r>
      <w:r w:rsidR="002B79E7" w:rsidRPr="00A8416C">
        <w:rPr>
          <w:rFonts w:ascii="Arial" w:hAnsi="Arial" w:cs="Arial"/>
          <w:sz w:val="22"/>
          <w:szCs w:val="22"/>
          <w:lang w:val="en-US"/>
        </w:rPr>
        <w:t xml:space="preserve"> tonnes.</w:t>
      </w:r>
    </w:p>
    <w:p w14:paraId="20417D4F" w14:textId="77777777" w:rsidR="00467416" w:rsidRPr="00A8416C" w:rsidRDefault="00467416" w:rsidP="002B79E7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42881EDC" w14:textId="7B4034D9" w:rsidR="00607783" w:rsidRDefault="006C0AF4" w:rsidP="002B79E7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8416C">
        <w:rPr>
          <w:rFonts w:ascii="Arial" w:hAnsi="Arial" w:cs="Arial"/>
          <w:sz w:val="22"/>
          <w:szCs w:val="22"/>
          <w:lang w:val="en-US"/>
        </w:rPr>
        <w:t xml:space="preserve">The </w:t>
      </w:r>
      <w:r w:rsidR="00C24467" w:rsidRPr="00A8416C">
        <w:rPr>
          <w:rFonts w:ascii="Arial" w:hAnsi="Arial" w:cs="Arial"/>
          <w:sz w:val="22"/>
          <w:szCs w:val="22"/>
          <w:lang w:val="en-US"/>
        </w:rPr>
        <w:t>co</w:t>
      </w:r>
      <w:r w:rsidR="00C24467">
        <w:rPr>
          <w:rFonts w:ascii="Arial" w:hAnsi="Arial" w:cs="Arial"/>
          <w:sz w:val="22"/>
          <w:szCs w:val="22"/>
          <w:lang w:val="en-US"/>
        </w:rPr>
        <w:t>llaboration</w:t>
      </w:r>
      <w:r w:rsidR="00C24467" w:rsidRPr="00A8416C">
        <w:rPr>
          <w:rFonts w:ascii="Arial" w:hAnsi="Arial" w:cs="Arial"/>
          <w:sz w:val="22"/>
          <w:szCs w:val="22"/>
          <w:lang w:val="en-US"/>
        </w:rPr>
        <w:t xml:space="preserve"> </w:t>
      </w:r>
      <w:r w:rsidR="00C24467">
        <w:rPr>
          <w:rFonts w:ascii="Arial" w:hAnsi="Arial" w:cs="Arial"/>
          <w:sz w:val="22"/>
          <w:szCs w:val="22"/>
          <w:lang w:val="en-US"/>
        </w:rPr>
        <w:t>between</w:t>
      </w:r>
      <w:r w:rsidR="00C24467" w:rsidRPr="00A8416C">
        <w:rPr>
          <w:rFonts w:ascii="Arial" w:hAnsi="Arial" w:cs="Arial"/>
          <w:sz w:val="22"/>
          <w:szCs w:val="22"/>
          <w:lang w:val="en-US"/>
        </w:rPr>
        <w:t xml:space="preserve"> </w:t>
      </w:r>
      <w:r w:rsidRPr="00A8416C">
        <w:rPr>
          <w:rFonts w:ascii="Arial" w:hAnsi="Arial" w:cs="Arial"/>
          <w:sz w:val="22"/>
          <w:szCs w:val="22"/>
          <w:lang w:val="en-US"/>
        </w:rPr>
        <w:t>Kind &amp; Co</w:t>
      </w:r>
      <w:r w:rsidR="00216124">
        <w:rPr>
          <w:rFonts w:ascii="Arial" w:hAnsi="Arial" w:cs="Arial"/>
          <w:sz w:val="22"/>
          <w:szCs w:val="22"/>
          <w:lang w:val="en-US"/>
        </w:rPr>
        <w:t>.</w:t>
      </w:r>
      <w:r w:rsidRPr="00A8416C">
        <w:rPr>
          <w:rFonts w:ascii="Arial" w:hAnsi="Arial" w:cs="Arial"/>
          <w:sz w:val="22"/>
          <w:szCs w:val="22"/>
          <w:lang w:val="en-US"/>
        </w:rPr>
        <w:t>, Schmiedewerke Gröditz</w:t>
      </w:r>
      <w:r w:rsidR="008F7B52">
        <w:rPr>
          <w:rFonts w:ascii="Arial" w:hAnsi="Arial" w:cs="Arial"/>
          <w:sz w:val="22"/>
          <w:szCs w:val="22"/>
          <w:lang w:val="en-US"/>
        </w:rPr>
        <w:t>,</w:t>
      </w:r>
      <w:r w:rsidRPr="00A8416C">
        <w:rPr>
          <w:rFonts w:ascii="Arial" w:hAnsi="Arial" w:cs="Arial"/>
          <w:sz w:val="22"/>
          <w:szCs w:val="22"/>
          <w:lang w:val="en-US"/>
        </w:rPr>
        <w:t xml:space="preserve"> and Buderus Edelstahl brings together complementary </w:t>
      </w:r>
      <w:r w:rsidR="00C24467">
        <w:rPr>
          <w:rFonts w:ascii="Arial" w:hAnsi="Arial" w:cs="Arial"/>
          <w:sz w:val="22"/>
          <w:szCs w:val="22"/>
          <w:lang w:val="en-US"/>
        </w:rPr>
        <w:t>expertise</w:t>
      </w:r>
      <w:r w:rsidR="00C24467" w:rsidRPr="00A8416C">
        <w:rPr>
          <w:rFonts w:ascii="Arial" w:hAnsi="Arial" w:cs="Arial"/>
          <w:sz w:val="22"/>
          <w:szCs w:val="22"/>
          <w:lang w:val="en-US"/>
        </w:rPr>
        <w:t xml:space="preserve"> </w:t>
      </w:r>
      <w:r w:rsidRPr="00A8416C">
        <w:rPr>
          <w:rFonts w:ascii="Arial" w:hAnsi="Arial" w:cs="Arial"/>
          <w:sz w:val="22"/>
          <w:szCs w:val="22"/>
          <w:lang w:val="en-US"/>
        </w:rPr>
        <w:t xml:space="preserve">across the </w:t>
      </w:r>
      <w:r w:rsidR="00356655">
        <w:rPr>
          <w:rFonts w:ascii="Arial" w:hAnsi="Arial" w:cs="Arial"/>
          <w:sz w:val="22"/>
          <w:szCs w:val="22"/>
          <w:lang w:val="en-US"/>
        </w:rPr>
        <w:t xml:space="preserve">entire </w:t>
      </w:r>
      <w:r w:rsidRPr="00A8416C">
        <w:rPr>
          <w:rFonts w:ascii="Arial" w:hAnsi="Arial" w:cs="Arial"/>
          <w:sz w:val="22"/>
          <w:szCs w:val="22"/>
          <w:lang w:val="en-US"/>
        </w:rPr>
        <w:t xml:space="preserve">value chain. </w:t>
      </w:r>
      <w:r w:rsidR="004A53A6">
        <w:rPr>
          <w:rFonts w:ascii="Arial" w:hAnsi="Arial" w:cs="Arial"/>
          <w:sz w:val="22"/>
          <w:szCs w:val="22"/>
          <w:lang w:val="en-US"/>
        </w:rPr>
        <w:t>For customers, d</w:t>
      </w:r>
      <w:r w:rsidRPr="00A8416C">
        <w:rPr>
          <w:rFonts w:ascii="Arial" w:hAnsi="Arial" w:cs="Arial"/>
          <w:sz w:val="22"/>
          <w:szCs w:val="22"/>
          <w:lang w:val="en-US"/>
        </w:rPr>
        <w:t xml:space="preserve">eliberate </w:t>
      </w:r>
      <w:r w:rsidR="00356655">
        <w:rPr>
          <w:rFonts w:ascii="Arial" w:hAnsi="Arial" w:cs="Arial"/>
          <w:sz w:val="22"/>
          <w:szCs w:val="22"/>
          <w:lang w:val="en-US"/>
        </w:rPr>
        <w:t>overlaps</w:t>
      </w:r>
      <w:r w:rsidR="00356655" w:rsidRPr="00A8416C">
        <w:rPr>
          <w:rFonts w:ascii="Arial" w:hAnsi="Arial" w:cs="Arial"/>
          <w:sz w:val="22"/>
          <w:szCs w:val="22"/>
          <w:lang w:val="en-US"/>
        </w:rPr>
        <w:t xml:space="preserve"> </w:t>
      </w:r>
      <w:r w:rsidRPr="00A8416C">
        <w:rPr>
          <w:rFonts w:ascii="Arial" w:hAnsi="Arial" w:cs="Arial"/>
          <w:sz w:val="22"/>
          <w:szCs w:val="22"/>
          <w:lang w:val="en-US"/>
        </w:rPr>
        <w:t>in critical proce</w:t>
      </w:r>
      <w:r w:rsidR="00A12C17">
        <w:rPr>
          <w:rFonts w:ascii="Arial" w:hAnsi="Arial" w:cs="Arial"/>
          <w:sz w:val="22"/>
          <w:szCs w:val="22"/>
          <w:lang w:val="en-US"/>
        </w:rPr>
        <w:t>dural</w:t>
      </w:r>
      <w:r w:rsidRPr="00A8416C">
        <w:rPr>
          <w:rFonts w:ascii="Arial" w:hAnsi="Arial" w:cs="Arial"/>
          <w:sz w:val="22"/>
          <w:szCs w:val="22"/>
          <w:lang w:val="en-US"/>
        </w:rPr>
        <w:t xml:space="preserve"> steps increase </w:t>
      </w:r>
      <w:r w:rsidR="004A53A6">
        <w:rPr>
          <w:rFonts w:ascii="Arial" w:hAnsi="Arial" w:cs="Arial"/>
          <w:sz w:val="22"/>
          <w:szCs w:val="22"/>
          <w:lang w:val="en-US"/>
        </w:rPr>
        <w:t xml:space="preserve">the company’s </w:t>
      </w:r>
      <w:r w:rsidRPr="00A8416C">
        <w:rPr>
          <w:rFonts w:ascii="Arial" w:hAnsi="Arial" w:cs="Arial"/>
          <w:sz w:val="22"/>
          <w:szCs w:val="22"/>
          <w:lang w:val="en-US"/>
        </w:rPr>
        <w:t>resilience</w:t>
      </w:r>
      <w:r w:rsidR="004A53A6">
        <w:rPr>
          <w:rFonts w:ascii="Arial" w:hAnsi="Arial" w:cs="Arial"/>
          <w:sz w:val="22"/>
          <w:szCs w:val="22"/>
          <w:lang w:val="en-US"/>
        </w:rPr>
        <w:t>,</w:t>
      </w:r>
      <w:r w:rsidRPr="00A8416C">
        <w:rPr>
          <w:rFonts w:ascii="Arial" w:hAnsi="Arial" w:cs="Arial"/>
          <w:sz w:val="22"/>
          <w:szCs w:val="22"/>
          <w:lang w:val="en-US"/>
        </w:rPr>
        <w:t xml:space="preserve"> strengthen GMH Gruppe’s position in Europe</w:t>
      </w:r>
      <w:r w:rsidR="00356655">
        <w:rPr>
          <w:rFonts w:ascii="Arial" w:hAnsi="Arial" w:cs="Arial"/>
          <w:sz w:val="22"/>
          <w:szCs w:val="22"/>
          <w:lang w:val="en-US"/>
        </w:rPr>
        <w:t>,</w:t>
      </w:r>
      <w:r w:rsidRPr="00A8416C">
        <w:rPr>
          <w:rFonts w:ascii="Arial" w:hAnsi="Arial" w:cs="Arial"/>
          <w:sz w:val="22"/>
          <w:szCs w:val="22"/>
          <w:lang w:val="en-US"/>
        </w:rPr>
        <w:t xml:space="preserve"> and enhance supply security, enabling the group to serve its markets more reliably and efficiently.</w:t>
      </w:r>
    </w:p>
    <w:p w14:paraId="237C4C69" w14:textId="77777777" w:rsidR="00216124" w:rsidRDefault="00216124" w:rsidP="009F48AE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4F074AC" w14:textId="039919B8" w:rsidR="009F48AE" w:rsidRPr="00216124" w:rsidRDefault="009F48AE" w:rsidP="009F48AE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216124">
        <w:rPr>
          <w:rFonts w:ascii="Arial" w:hAnsi="Arial" w:cs="Arial"/>
          <w:b/>
          <w:bCs/>
          <w:sz w:val="22"/>
          <w:szCs w:val="22"/>
          <w:lang w:val="en-US"/>
        </w:rPr>
        <w:t xml:space="preserve">Targeted investments </w:t>
      </w:r>
      <w:r w:rsidR="00C24627" w:rsidRPr="00216124">
        <w:rPr>
          <w:rFonts w:ascii="Arial" w:hAnsi="Arial" w:cs="Arial"/>
          <w:b/>
          <w:bCs/>
          <w:sz w:val="22"/>
          <w:szCs w:val="22"/>
          <w:lang w:val="en-US"/>
        </w:rPr>
        <w:t>to support the integration</w:t>
      </w:r>
    </w:p>
    <w:p w14:paraId="5A784E23" w14:textId="77777777" w:rsidR="00C24627" w:rsidRPr="00216124" w:rsidRDefault="00C24627" w:rsidP="009F48AE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280576FB" w14:textId="77777777" w:rsidR="0028480C" w:rsidRDefault="0028480C" w:rsidP="0028480C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216124">
        <w:rPr>
          <w:rFonts w:ascii="Arial" w:hAnsi="Arial" w:cs="Arial"/>
          <w:sz w:val="22"/>
          <w:szCs w:val="22"/>
          <w:lang w:val="en-US"/>
        </w:rPr>
        <w:t>The €30 million investment program includes:</w:t>
      </w:r>
    </w:p>
    <w:p w14:paraId="69E3D65F" w14:textId="77777777" w:rsidR="00A8416C" w:rsidRPr="00216124" w:rsidRDefault="00A8416C" w:rsidP="0028480C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3ADC3ABB" w14:textId="75D89DC1" w:rsidR="009F48AE" w:rsidRPr="00216124" w:rsidRDefault="009F48AE" w:rsidP="009F48AE">
      <w:pPr>
        <w:pStyle w:val="Defaul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216124">
        <w:rPr>
          <w:rFonts w:ascii="Arial" w:hAnsi="Arial" w:cs="Arial"/>
          <w:sz w:val="22"/>
          <w:szCs w:val="22"/>
          <w:lang w:val="en-US"/>
        </w:rPr>
        <w:t xml:space="preserve">A new ladle car (Gießwagen) at Schmiedewerke Gröditz </w:t>
      </w:r>
      <w:r w:rsidR="00B24671" w:rsidRPr="00216124">
        <w:rPr>
          <w:rFonts w:ascii="Arial" w:hAnsi="Arial" w:cs="Arial"/>
          <w:sz w:val="22"/>
          <w:szCs w:val="22"/>
          <w:lang w:val="en-US"/>
        </w:rPr>
        <w:t>(higher production output and higher purity)</w:t>
      </w:r>
      <w:r w:rsidR="00216124">
        <w:rPr>
          <w:rFonts w:ascii="Arial" w:hAnsi="Arial" w:cs="Arial"/>
          <w:sz w:val="22"/>
          <w:szCs w:val="22"/>
          <w:lang w:val="en-US"/>
        </w:rPr>
        <w:t>.</w:t>
      </w:r>
    </w:p>
    <w:p w14:paraId="2DC5D9CC" w14:textId="6CA1A993" w:rsidR="009F48AE" w:rsidRPr="00216124" w:rsidRDefault="009F48AE" w:rsidP="009F48AE">
      <w:pPr>
        <w:pStyle w:val="Defaul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216124">
        <w:rPr>
          <w:rFonts w:ascii="Arial" w:hAnsi="Arial" w:cs="Arial"/>
          <w:sz w:val="22"/>
          <w:szCs w:val="22"/>
          <w:lang w:val="en-US"/>
        </w:rPr>
        <w:t>A new hardening furnace for large structural and Gigacasting parts in Bielstein (</w:t>
      </w:r>
      <w:r w:rsidR="0028480C" w:rsidRPr="00216124">
        <w:rPr>
          <w:rFonts w:ascii="Arial" w:hAnsi="Arial" w:cs="Arial"/>
          <w:sz w:val="22"/>
          <w:szCs w:val="22"/>
          <w:lang w:val="en-US"/>
        </w:rPr>
        <w:t>increased</w:t>
      </w:r>
      <w:r w:rsidR="00356655">
        <w:rPr>
          <w:rFonts w:ascii="Arial" w:hAnsi="Arial" w:cs="Arial"/>
          <w:sz w:val="22"/>
          <w:szCs w:val="22"/>
          <w:lang w:val="en-US"/>
        </w:rPr>
        <w:t xml:space="preserve"> </w:t>
      </w:r>
      <w:r w:rsidR="00B24671" w:rsidRPr="00216124">
        <w:rPr>
          <w:rFonts w:ascii="Arial" w:hAnsi="Arial" w:cs="Arial"/>
          <w:sz w:val="22"/>
          <w:szCs w:val="22"/>
          <w:lang w:val="en-US"/>
        </w:rPr>
        <w:t>capacity and vacuum</w:t>
      </w:r>
      <w:r w:rsidR="0028480C" w:rsidRPr="00216124">
        <w:rPr>
          <w:rFonts w:ascii="Arial" w:hAnsi="Arial" w:cs="Arial"/>
          <w:sz w:val="22"/>
          <w:szCs w:val="22"/>
          <w:lang w:val="en-US"/>
        </w:rPr>
        <w:t>-hardening capabilities for larger components, enabling new market opportunities)</w:t>
      </w:r>
      <w:r w:rsidR="00216124">
        <w:rPr>
          <w:rFonts w:ascii="Arial" w:hAnsi="Arial" w:cs="Arial"/>
          <w:sz w:val="22"/>
          <w:szCs w:val="22"/>
          <w:lang w:val="en-US"/>
        </w:rPr>
        <w:t>.</w:t>
      </w:r>
      <w:r w:rsidR="00B24671" w:rsidRPr="00216124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1A4133FD" w14:textId="33A3D5B5" w:rsidR="009F48AE" w:rsidRPr="00216124" w:rsidRDefault="009F48AE" w:rsidP="009F48AE">
      <w:pPr>
        <w:pStyle w:val="Defaul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216124">
        <w:rPr>
          <w:rFonts w:ascii="Arial" w:hAnsi="Arial" w:cs="Arial"/>
          <w:sz w:val="22"/>
          <w:szCs w:val="22"/>
          <w:lang w:val="en-US"/>
        </w:rPr>
        <w:t xml:space="preserve">Relocation of energy-efficient forging furnaces from Wetzlar to Gröditz </w:t>
      </w:r>
      <w:r w:rsidR="00356655" w:rsidRPr="00216124">
        <w:rPr>
          <w:rFonts w:ascii="Arial" w:hAnsi="Arial" w:cs="Arial"/>
          <w:sz w:val="22"/>
          <w:szCs w:val="22"/>
          <w:lang w:val="en-US"/>
        </w:rPr>
        <w:t>(lower</w:t>
      </w:r>
      <w:r w:rsidR="0028480C" w:rsidRPr="00216124">
        <w:rPr>
          <w:rFonts w:ascii="Arial" w:hAnsi="Arial" w:cs="Arial"/>
          <w:sz w:val="22"/>
          <w:szCs w:val="22"/>
          <w:lang w:val="en-US"/>
        </w:rPr>
        <w:t xml:space="preserve"> </w:t>
      </w:r>
      <w:r w:rsidR="00B24671" w:rsidRPr="00216124">
        <w:rPr>
          <w:rFonts w:ascii="Arial" w:hAnsi="Arial" w:cs="Arial"/>
          <w:sz w:val="22"/>
          <w:szCs w:val="22"/>
          <w:lang w:val="en-US"/>
        </w:rPr>
        <w:t xml:space="preserve">gas consumption </w:t>
      </w:r>
      <w:r w:rsidR="0028480C" w:rsidRPr="00216124">
        <w:rPr>
          <w:rFonts w:ascii="Arial" w:hAnsi="Arial" w:cs="Arial"/>
          <w:sz w:val="22"/>
          <w:szCs w:val="22"/>
          <w:lang w:val="en-US"/>
        </w:rPr>
        <w:t>and reduced carbon emissions)</w:t>
      </w:r>
      <w:r w:rsidR="00356655">
        <w:rPr>
          <w:rFonts w:ascii="Arial" w:hAnsi="Arial" w:cs="Arial"/>
          <w:sz w:val="22"/>
          <w:szCs w:val="22"/>
          <w:lang w:val="en-US"/>
        </w:rPr>
        <w:t>.</w:t>
      </w:r>
      <w:r w:rsidR="0028480C" w:rsidRPr="00216124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52743252" w14:textId="37244567" w:rsidR="009F48AE" w:rsidRDefault="0028480C" w:rsidP="009F48AE">
      <w:pPr>
        <w:pStyle w:val="Defaul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216124">
        <w:rPr>
          <w:rFonts w:ascii="Arial" w:hAnsi="Arial" w:cs="Arial"/>
          <w:sz w:val="22"/>
          <w:szCs w:val="22"/>
          <w:lang w:val="en-US"/>
        </w:rPr>
        <w:t xml:space="preserve">Additional </w:t>
      </w:r>
      <w:r w:rsidR="009F48AE" w:rsidRPr="00216124">
        <w:rPr>
          <w:rFonts w:ascii="Arial" w:hAnsi="Arial" w:cs="Arial"/>
          <w:sz w:val="22"/>
          <w:szCs w:val="22"/>
          <w:lang w:val="en-US"/>
        </w:rPr>
        <w:t>moderni</w:t>
      </w:r>
      <w:r w:rsidR="00216124">
        <w:rPr>
          <w:rFonts w:ascii="Arial" w:hAnsi="Arial" w:cs="Arial"/>
          <w:sz w:val="22"/>
          <w:szCs w:val="22"/>
          <w:lang w:val="en-US"/>
        </w:rPr>
        <w:t>s</w:t>
      </w:r>
      <w:r w:rsidR="009F48AE" w:rsidRPr="00216124">
        <w:rPr>
          <w:rFonts w:ascii="Arial" w:hAnsi="Arial" w:cs="Arial"/>
          <w:sz w:val="22"/>
          <w:szCs w:val="22"/>
          <w:lang w:val="en-US"/>
        </w:rPr>
        <w:t xml:space="preserve">ation </w:t>
      </w:r>
      <w:r w:rsidRPr="00216124">
        <w:rPr>
          <w:rFonts w:ascii="Arial" w:hAnsi="Arial" w:cs="Arial"/>
          <w:sz w:val="22"/>
          <w:szCs w:val="22"/>
          <w:lang w:val="en-US"/>
        </w:rPr>
        <w:t xml:space="preserve">measures across the Open-Die Forging Group. </w:t>
      </w:r>
    </w:p>
    <w:p w14:paraId="005AA13A" w14:textId="77777777" w:rsidR="00A8416C" w:rsidRPr="00216124" w:rsidRDefault="00A8416C" w:rsidP="00A8416C">
      <w:pPr>
        <w:pStyle w:val="Default"/>
        <w:ind w:left="720"/>
        <w:jc w:val="both"/>
        <w:rPr>
          <w:rFonts w:ascii="Arial" w:hAnsi="Arial" w:cs="Arial"/>
          <w:sz w:val="22"/>
          <w:szCs w:val="22"/>
          <w:lang w:val="en-US"/>
        </w:rPr>
      </w:pPr>
    </w:p>
    <w:p w14:paraId="4EBB6395" w14:textId="05874043" w:rsidR="009F48AE" w:rsidRPr="00216124" w:rsidRDefault="009F48AE" w:rsidP="009F48AE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216124">
        <w:rPr>
          <w:rFonts w:ascii="Arial" w:hAnsi="Arial" w:cs="Arial"/>
          <w:sz w:val="22"/>
          <w:szCs w:val="22"/>
          <w:lang w:val="en-US"/>
        </w:rPr>
        <w:t>These investments are intended to expand capacity, increase energy efficiency, and moderni</w:t>
      </w:r>
      <w:r w:rsidR="00216124">
        <w:rPr>
          <w:rFonts w:ascii="Arial" w:hAnsi="Arial" w:cs="Arial"/>
          <w:sz w:val="22"/>
          <w:szCs w:val="22"/>
          <w:lang w:val="en-US"/>
        </w:rPr>
        <w:t>s</w:t>
      </w:r>
      <w:r w:rsidRPr="00216124">
        <w:rPr>
          <w:rFonts w:ascii="Arial" w:hAnsi="Arial" w:cs="Arial"/>
          <w:sz w:val="22"/>
          <w:szCs w:val="22"/>
          <w:lang w:val="en-US"/>
        </w:rPr>
        <w:t>e production technology.</w:t>
      </w:r>
    </w:p>
    <w:p w14:paraId="26E71305" w14:textId="77777777" w:rsidR="0075692E" w:rsidRDefault="0075692E" w:rsidP="0075692E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39EB45B" w14:textId="70953389" w:rsidR="0075692E" w:rsidRPr="00B47F13" w:rsidRDefault="0075692E" w:rsidP="0075692E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B47F13">
        <w:rPr>
          <w:rFonts w:ascii="Arial" w:hAnsi="Arial" w:cs="Arial"/>
          <w:b/>
          <w:bCs/>
          <w:sz w:val="22"/>
          <w:szCs w:val="22"/>
          <w:lang w:val="en-US"/>
        </w:rPr>
        <w:t>CO</w:t>
      </w:r>
      <w:r w:rsidRPr="00B47F13">
        <w:rPr>
          <w:rFonts w:ascii="Cambria Math" w:hAnsi="Cambria Math" w:cs="Cambria Math"/>
          <w:b/>
          <w:bCs/>
          <w:sz w:val="22"/>
          <w:szCs w:val="22"/>
          <w:lang w:val="en-US"/>
        </w:rPr>
        <w:t>₂</w:t>
      </w:r>
      <w:r w:rsidRPr="00B47F13">
        <w:rPr>
          <w:rFonts w:ascii="Arial" w:hAnsi="Arial" w:cs="Arial"/>
          <w:b/>
          <w:bCs/>
          <w:sz w:val="22"/>
          <w:szCs w:val="22"/>
          <w:lang w:val="en-US"/>
        </w:rPr>
        <w:t xml:space="preserve"> performance and process route</w:t>
      </w:r>
    </w:p>
    <w:p w14:paraId="5A79EAA3" w14:textId="77777777" w:rsidR="0075692E" w:rsidRPr="00B47F13" w:rsidRDefault="0075692E" w:rsidP="0075692E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122B586B" w14:textId="16EBFA04" w:rsidR="0075692E" w:rsidRPr="00B47F13" w:rsidRDefault="0075692E" w:rsidP="0075692E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B47F13">
        <w:rPr>
          <w:rFonts w:ascii="Arial" w:hAnsi="Arial" w:cs="Arial"/>
          <w:sz w:val="22"/>
          <w:szCs w:val="22"/>
          <w:lang w:val="en-US"/>
        </w:rPr>
        <w:t xml:space="preserve">GMH Gruppe continues to rely exclusively on </w:t>
      </w:r>
      <w:r w:rsidR="00356655">
        <w:rPr>
          <w:rFonts w:ascii="Arial" w:hAnsi="Arial" w:cs="Arial"/>
          <w:sz w:val="22"/>
          <w:szCs w:val="22"/>
          <w:lang w:val="en-US"/>
        </w:rPr>
        <w:t>electric-furnace</w:t>
      </w:r>
      <w:r w:rsidRPr="00B47F13">
        <w:rPr>
          <w:rFonts w:ascii="Arial" w:hAnsi="Arial" w:cs="Arial"/>
          <w:sz w:val="22"/>
          <w:szCs w:val="22"/>
          <w:lang w:val="en-US"/>
        </w:rPr>
        <w:t xml:space="preserve"> production and recycled scrap, achieving CO</w:t>
      </w:r>
      <w:r w:rsidRPr="00B47F13">
        <w:rPr>
          <w:rFonts w:ascii="Cambria Math" w:hAnsi="Cambria Math" w:cs="Cambria Math"/>
          <w:sz w:val="22"/>
          <w:szCs w:val="22"/>
          <w:lang w:val="en-US"/>
        </w:rPr>
        <w:t>₂</w:t>
      </w:r>
      <w:r w:rsidRPr="00B47F13">
        <w:rPr>
          <w:rFonts w:ascii="Arial" w:hAnsi="Arial" w:cs="Arial"/>
          <w:sz w:val="22"/>
          <w:szCs w:val="22"/>
          <w:lang w:val="en-US"/>
        </w:rPr>
        <w:t xml:space="preserve"> reductions of up to 80% </w:t>
      </w:r>
      <w:r w:rsidR="00356655">
        <w:rPr>
          <w:rFonts w:ascii="Arial" w:hAnsi="Arial" w:cs="Arial"/>
          <w:sz w:val="22"/>
          <w:szCs w:val="22"/>
          <w:lang w:val="en-US"/>
        </w:rPr>
        <w:t>compared with</w:t>
      </w:r>
      <w:r w:rsidR="00356655" w:rsidRPr="00B47F13">
        <w:rPr>
          <w:rFonts w:ascii="Arial" w:hAnsi="Arial" w:cs="Arial"/>
          <w:sz w:val="22"/>
          <w:szCs w:val="22"/>
          <w:lang w:val="en-US"/>
        </w:rPr>
        <w:t xml:space="preserve"> </w:t>
      </w:r>
      <w:r w:rsidRPr="00B47F13">
        <w:rPr>
          <w:rFonts w:ascii="Arial" w:hAnsi="Arial" w:cs="Arial"/>
          <w:sz w:val="22"/>
          <w:szCs w:val="22"/>
          <w:lang w:val="en-US"/>
        </w:rPr>
        <w:t>conventional blast-furnace routes.</w:t>
      </w:r>
    </w:p>
    <w:p w14:paraId="57EE3593" w14:textId="77777777" w:rsidR="009F48AE" w:rsidRDefault="009F48AE" w:rsidP="00D80DCF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34D3C14F" w14:textId="77777777" w:rsidR="003873F3" w:rsidRDefault="003873F3" w:rsidP="00D80DCF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67BD498F" w14:textId="77777777" w:rsidR="003873F3" w:rsidRDefault="003873F3" w:rsidP="00D80DCF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3977F2DA" w14:textId="77777777" w:rsidR="003873F3" w:rsidRDefault="003873F3" w:rsidP="00D80DCF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788E0E08" w14:textId="77777777" w:rsidR="003873F3" w:rsidRDefault="003873F3" w:rsidP="00D80DCF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035FF7B8" w14:textId="77777777" w:rsidR="003873F3" w:rsidRDefault="003873F3" w:rsidP="00D80DCF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3DCC61B3" w14:textId="77777777" w:rsidR="003873F3" w:rsidRDefault="003873F3" w:rsidP="00D80DCF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24AD75E4" w14:textId="77777777" w:rsidR="003873F3" w:rsidRDefault="003873F3" w:rsidP="00D80DCF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19626574" w14:textId="77777777" w:rsidR="003873F3" w:rsidRDefault="003873F3" w:rsidP="00D80DCF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5E7A7999" w14:textId="77777777" w:rsidR="003873F3" w:rsidRDefault="003873F3" w:rsidP="00D80DCF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0EC98A46" w14:textId="2DAF8EBC" w:rsidR="003F1C46" w:rsidRPr="00992176" w:rsidRDefault="003F1C46" w:rsidP="003F1C4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992176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About GMH Gruppe</w:t>
      </w:r>
    </w:p>
    <w:p w14:paraId="4A41E2F9" w14:textId="29FC2DAC" w:rsidR="001A328A" w:rsidRDefault="001A328A" w:rsidP="001A328A">
      <w:pPr>
        <w:spacing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bookmarkStart w:id="0" w:name="_Hlk206763203"/>
      <w:r w:rsidRPr="005D00E2">
        <w:rPr>
          <w:rFonts w:ascii="Arial" w:hAnsi="Arial" w:cs="Arial"/>
          <w:sz w:val="20"/>
          <w:szCs w:val="20"/>
          <w:lang w:val="en-US"/>
        </w:rPr>
        <w:t>GMH Gruppe is a full-service provider of steel products, ranging from scrap-based steelmaking to ready-to-install components. It is one of Europe’s largest privately owned metal-processing companies. The group comprises more than 20 medium-sized steel, forging and casting industr</w:t>
      </w:r>
      <w:r>
        <w:rPr>
          <w:rFonts w:ascii="Arial" w:hAnsi="Arial" w:cs="Arial"/>
          <w:sz w:val="20"/>
          <w:szCs w:val="20"/>
          <w:lang w:val="en-US"/>
        </w:rPr>
        <w:t>y sites</w:t>
      </w:r>
      <w:r w:rsidRPr="005D00E2">
        <w:rPr>
          <w:rFonts w:ascii="Arial" w:hAnsi="Arial" w:cs="Arial"/>
          <w:sz w:val="20"/>
          <w:szCs w:val="20"/>
          <w:lang w:val="en-US"/>
        </w:rPr>
        <w:t xml:space="preserve">, serving customers in over 50 countries. With around 6,000 employees, GMH Gruppe generates annual revenues of </w:t>
      </w:r>
      <w:r w:rsidRPr="002E7623">
        <w:rPr>
          <w:rFonts w:ascii="Arial" w:hAnsi="Arial" w:cs="Arial"/>
          <w:sz w:val="20"/>
          <w:szCs w:val="20"/>
          <w:lang w:val="en-US"/>
        </w:rPr>
        <w:t xml:space="preserve">over </w:t>
      </w:r>
      <w:r w:rsidR="00E84995">
        <w:rPr>
          <w:rFonts w:ascii="Arial" w:hAnsi="Arial" w:cs="Arial"/>
          <w:sz w:val="20"/>
          <w:szCs w:val="20"/>
          <w:lang w:val="en-US"/>
        </w:rPr>
        <w:t xml:space="preserve"> </w:t>
      </w:r>
      <w:r w:rsidRPr="005D00E2">
        <w:rPr>
          <w:rFonts w:ascii="Arial" w:hAnsi="Arial" w:cs="Arial"/>
          <w:sz w:val="20"/>
          <w:szCs w:val="20"/>
          <w:lang w:val="en-US"/>
        </w:rPr>
        <w:t>2 billion euros.</w:t>
      </w:r>
    </w:p>
    <w:p w14:paraId="5CAD463E" w14:textId="60096CC0" w:rsidR="001A328A" w:rsidRPr="005D00E2" w:rsidRDefault="001A328A" w:rsidP="001A328A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</w:pP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GMH Gruppe is a pioneer in sustainable steel production and a member of the ‘German Association of Climate Protection Companies’. By recycling metal scrap, the company produces green steel and contributes to a circular economy. </w:t>
      </w:r>
      <w:r w:rsidR="00EA292D" w:rsidRPr="002A145E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The use of electric arc furnaces at four sites reduces CO</w:t>
      </w:r>
      <w:r w:rsidR="00EA292D" w:rsidRPr="002A145E">
        <w:rPr>
          <w:rFonts w:ascii="Arial" w:eastAsia="Times New Roman" w:hAnsi="Arial" w:cs="Arial"/>
          <w:color w:val="auto"/>
          <w:sz w:val="20"/>
          <w:szCs w:val="20"/>
          <w:vertAlign w:val="subscript"/>
          <w:lang w:val="en-US" w:eastAsia="de-DE"/>
        </w:rPr>
        <w:t>2</w:t>
      </w:r>
      <w:r w:rsidR="00EA292D" w:rsidRPr="002A145E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emissions by 80% compared to the conventional blast furnace and converter route. This also reduces the carbon footprint of customers supplied by GMH.</w:t>
      </w:r>
      <w:r w:rsidR="00EA292D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</w:t>
      </w: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These include companies from the automotive, mechanical engineering, railway, energy, logistics, aerospace, agriculture</w:t>
      </w:r>
      <w:r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,</w:t>
      </w: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 and construction machinery sectors. </w:t>
      </w:r>
    </w:p>
    <w:p w14:paraId="5E01D7DC" w14:textId="3C158333" w:rsidR="000D68E0" w:rsidRPr="003873F3" w:rsidRDefault="001A328A" w:rsidP="002B15F8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GMH Gruppe is committed to achieving full climate-neutrality by 2039.</w:t>
      </w:r>
      <w:r w:rsidR="0058048E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 </w:t>
      </w:r>
      <w:bookmarkEnd w:id="0"/>
      <w:r w:rsidR="00216124">
        <w:fldChar w:fldCharType="begin"/>
      </w:r>
      <w:r w:rsidR="00216124" w:rsidRPr="00A8416C">
        <w:rPr>
          <w:lang w:val="en-GB"/>
        </w:rPr>
        <w:instrText>HYPERLINK "http://www.gmh-gruppe.de/en/"</w:instrText>
      </w:r>
      <w:r w:rsidR="00216124">
        <w:fldChar w:fldCharType="separate"/>
      </w:r>
      <w:r w:rsidR="00216124" w:rsidRPr="003873F3">
        <w:rPr>
          <w:rStyle w:val="Hyperlink"/>
          <w:rFonts w:ascii="Arial" w:hAnsi="Arial" w:cs="Arial"/>
          <w:sz w:val="20"/>
          <w:szCs w:val="20"/>
        </w:rPr>
        <w:t>www.gmh-gruppe.de/en/</w:t>
      </w:r>
      <w:r w:rsidR="00216124">
        <w:fldChar w:fldCharType="end"/>
      </w:r>
      <w:r w:rsidR="00216124" w:rsidRPr="003873F3">
        <w:rPr>
          <w:rFonts w:ascii="Arial" w:hAnsi="Arial" w:cs="Arial"/>
          <w:sz w:val="20"/>
          <w:szCs w:val="20"/>
        </w:rPr>
        <w:t>.</w:t>
      </w:r>
    </w:p>
    <w:p w14:paraId="01398EA5" w14:textId="77777777" w:rsidR="00167EA4" w:rsidRPr="003873F3" w:rsidRDefault="00167EA4" w:rsidP="009D399E">
      <w:pPr>
        <w:spacing w:line="240" w:lineRule="auto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</w:p>
    <w:p w14:paraId="53106F89" w14:textId="6B6E4AD4" w:rsidR="009D399E" w:rsidRPr="003873F3" w:rsidRDefault="009D399E" w:rsidP="009D399E">
      <w:pPr>
        <w:spacing w:line="240" w:lineRule="auto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  <w:r w:rsidRPr="003873F3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For editorial inquiries:</w:t>
      </w:r>
    </w:p>
    <w:p w14:paraId="2612D0CC" w14:textId="77777777" w:rsidR="00AE2630" w:rsidRPr="003873F3" w:rsidRDefault="00AE2630" w:rsidP="00507B6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11CCEE6" w14:textId="213626B9" w:rsidR="002F0076" w:rsidRPr="003873F3" w:rsidRDefault="002F0076" w:rsidP="00062B96">
      <w:pPr>
        <w:spacing w:line="240" w:lineRule="auto"/>
        <w:rPr>
          <w:rStyle w:val="Fett"/>
          <w:rFonts w:ascii="Arial" w:hAnsi="Arial" w:cs="Arial"/>
          <w:color w:val="000000"/>
          <w:sz w:val="20"/>
          <w:szCs w:val="20"/>
        </w:rPr>
      </w:pPr>
      <w:r w:rsidRPr="003873F3">
        <w:rPr>
          <w:rStyle w:val="Fett"/>
          <w:rFonts w:ascii="Arial" w:hAnsi="Arial" w:cs="Arial"/>
          <w:color w:val="000000"/>
          <w:sz w:val="20"/>
          <w:szCs w:val="20"/>
        </w:rPr>
        <w:t>GMH Gruppe</w:t>
      </w:r>
    </w:p>
    <w:p w14:paraId="6ED33848" w14:textId="77777777" w:rsidR="00216124" w:rsidRPr="003873F3" w:rsidRDefault="00062B96" w:rsidP="00062B96">
      <w:pPr>
        <w:spacing w:line="240" w:lineRule="auto"/>
        <w:rPr>
          <w:rFonts w:ascii="Arial" w:hAnsi="Arial" w:cs="Arial"/>
          <w:sz w:val="20"/>
          <w:szCs w:val="20"/>
        </w:rPr>
      </w:pPr>
      <w:r w:rsidRPr="003873F3">
        <w:rPr>
          <w:rStyle w:val="Fett"/>
          <w:rFonts w:ascii="Arial" w:hAnsi="Arial" w:cs="Arial"/>
          <w:color w:val="000000"/>
          <w:sz w:val="20"/>
          <w:szCs w:val="20"/>
        </w:rPr>
        <w:t xml:space="preserve">Luciana </w:t>
      </w:r>
      <w:r w:rsidRPr="003873F3">
        <w:rPr>
          <w:rFonts w:ascii="Arial" w:hAnsi="Arial" w:cs="Arial"/>
          <w:color w:val="000000"/>
          <w:sz w:val="20"/>
          <w:szCs w:val="20"/>
        </w:rPr>
        <w:t>Filizzola, Director Sustainability and Communications</w:t>
      </w:r>
      <w:r w:rsidRPr="003873F3">
        <w:rPr>
          <w:rStyle w:val="Fett"/>
          <w:rFonts w:ascii="Arial" w:hAnsi="Arial" w:cs="Arial"/>
          <w:b w:val="0"/>
          <w:color w:val="000000"/>
          <w:sz w:val="20"/>
          <w:szCs w:val="20"/>
        </w:rPr>
        <w:t xml:space="preserve">, </w:t>
      </w:r>
      <w:r w:rsidRPr="003873F3">
        <w:rPr>
          <w:rFonts w:ascii="Arial" w:hAnsi="Arial" w:cs="Arial"/>
          <w:sz w:val="20"/>
          <w:szCs w:val="20"/>
        </w:rPr>
        <w:t>+49 160 95222954,</w:t>
      </w:r>
    </w:p>
    <w:p w14:paraId="3ADD1382" w14:textId="6976FC1B" w:rsidR="00062B96" w:rsidRPr="003873F3" w:rsidRDefault="00216124" w:rsidP="00062B96">
      <w:pPr>
        <w:spacing w:line="240" w:lineRule="auto"/>
        <w:rPr>
          <w:rStyle w:val="Hyperlink"/>
          <w:rFonts w:ascii="Arial" w:hAnsi="Arial" w:cs="Arial"/>
          <w:sz w:val="20"/>
          <w:szCs w:val="20"/>
        </w:rPr>
      </w:pPr>
      <w:hyperlink r:id="rId11" w:history="1">
        <w:r w:rsidRPr="003873F3">
          <w:rPr>
            <w:rStyle w:val="Hyperlink"/>
            <w:rFonts w:ascii="Arial" w:hAnsi="Arial" w:cs="Arial"/>
            <w:sz w:val="20"/>
            <w:szCs w:val="20"/>
          </w:rPr>
          <w:t>Luciana.Filizzola@gmh-gruppe.de</w:t>
        </w:r>
      </w:hyperlink>
    </w:p>
    <w:p w14:paraId="0A3C4423" w14:textId="77777777" w:rsidR="000D68E0" w:rsidRPr="003873F3" w:rsidRDefault="000D68E0" w:rsidP="00507B65">
      <w:pPr>
        <w:spacing w:line="240" w:lineRule="auto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</w:p>
    <w:p w14:paraId="6807D5E8" w14:textId="029DD24D" w:rsidR="008153FB" w:rsidRPr="008153FB" w:rsidRDefault="008153FB" w:rsidP="008153FB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153FB">
        <w:rPr>
          <w:rFonts w:ascii="Arial" w:hAnsi="Arial" w:cs="Arial"/>
          <w:b/>
          <w:color w:val="000000"/>
          <w:sz w:val="20"/>
          <w:szCs w:val="20"/>
          <w:lang w:val="en-US"/>
        </w:rPr>
        <w:t>bmb-consult – PR-Agency for the GMH Gruppe</w:t>
      </w:r>
    </w:p>
    <w:p w14:paraId="0FA62689" w14:textId="77777777" w:rsidR="008153FB" w:rsidRPr="004C56E0" w:rsidRDefault="008153FB" w:rsidP="008153FB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  <w:lang w:val="nl-NL"/>
        </w:rPr>
      </w:pPr>
      <w:bookmarkStart w:id="1" w:name="_Hlk158113493"/>
      <w:r w:rsidRPr="004C56E0">
        <w:rPr>
          <w:rFonts w:ascii="Arial" w:hAnsi="Arial" w:cs="Arial"/>
          <w:color w:val="000000"/>
          <w:sz w:val="20"/>
          <w:szCs w:val="20"/>
          <w:lang w:val="nl-NL"/>
        </w:rPr>
        <w:t>Dagmar Klein, Managing Director, +49 172 8532208,</w:t>
      </w:r>
    </w:p>
    <w:p w14:paraId="742115E8" w14:textId="77777777" w:rsidR="008153FB" w:rsidRPr="004C56E0" w:rsidRDefault="008153FB" w:rsidP="008153FB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  <w:lang w:val="nl-NL"/>
        </w:rPr>
      </w:pPr>
      <w:hyperlink r:id="rId12" w:history="1">
        <w:r w:rsidRPr="004C56E0">
          <w:rPr>
            <w:rStyle w:val="Hyperlink"/>
            <w:rFonts w:ascii="Arial" w:hAnsi="Arial" w:cs="Arial"/>
            <w:sz w:val="20"/>
            <w:szCs w:val="20"/>
            <w:lang w:val="nl-NL"/>
          </w:rPr>
          <w:t>d.klein@bmb-consult.com</w:t>
        </w:r>
      </w:hyperlink>
    </w:p>
    <w:bookmarkEnd w:id="1"/>
    <w:p w14:paraId="604F3EC2" w14:textId="7B9D991D" w:rsidR="002B15F8" w:rsidRPr="004C56E0" w:rsidRDefault="002B15F8" w:rsidP="008153FB">
      <w:pPr>
        <w:spacing w:line="240" w:lineRule="auto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nl-NL"/>
        </w:rPr>
      </w:pPr>
    </w:p>
    <w:sectPr w:rsidR="002B15F8" w:rsidRPr="004C56E0" w:rsidSect="002D6B10">
      <w:headerReference w:type="default" r:id="rId13"/>
      <w:type w:val="continuous"/>
      <w:pgSz w:w="11906" w:h="16838"/>
      <w:pgMar w:top="269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58FF8" w14:textId="77777777" w:rsidR="00DD4AE0" w:rsidRDefault="00DD4AE0" w:rsidP="001D118D">
      <w:pPr>
        <w:spacing w:line="240" w:lineRule="auto"/>
      </w:pPr>
      <w:r>
        <w:separator/>
      </w:r>
    </w:p>
  </w:endnote>
  <w:endnote w:type="continuationSeparator" w:id="0">
    <w:p w14:paraId="32091428" w14:textId="77777777" w:rsidR="00DD4AE0" w:rsidRDefault="00DD4AE0" w:rsidP="001D11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QuayItcTBoo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lanOT-Book">
    <w:altName w:val="Calibri"/>
    <w:panose1 w:val="00000000000000000000"/>
    <w:charset w:val="00"/>
    <w:family w:val="swiss"/>
    <w:notTrueType/>
    <w:pitch w:val="variable"/>
    <w:sig w:usb0="800000AF" w:usb1="4000205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3069F" w14:textId="77777777" w:rsidR="00DD4AE0" w:rsidRDefault="00DD4AE0" w:rsidP="001D118D">
      <w:pPr>
        <w:spacing w:line="240" w:lineRule="auto"/>
      </w:pPr>
      <w:r>
        <w:separator/>
      </w:r>
    </w:p>
  </w:footnote>
  <w:footnote w:type="continuationSeparator" w:id="0">
    <w:p w14:paraId="3BD823CE" w14:textId="77777777" w:rsidR="00DD4AE0" w:rsidRDefault="00DD4AE0" w:rsidP="001D11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AD387" w14:textId="0F0F750A" w:rsidR="002B15F8" w:rsidRDefault="002B15F8" w:rsidP="00204945">
    <w:pPr>
      <w:pStyle w:val="Kopfzeile"/>
      <w:ind w:firstLine="4248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841B54" wp14:editId="369B28F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51585" cy="778510"/>
          <wp:effectExtent l="0" t="0" r="0" b="0"/>
          <wp:wrapNone/>
          <wp:docPr id="1867369152" name="Grafik 1867369152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, Schrift, Screenshot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1585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945">
      <w:rPr>
        <w:noProof/>
      </w:rPr>
      <w:drawing>
        <wp:inline distT="0" distB="0" distL="0" distR="0" wp14:anchorId="645E99F5" wp14:editId="57C08086">
          <wp:extent cx="3194685" cy="780415"/>
          <wp:effectExtent l="0" t="0" r="5715" b="635"/>
          <wp:docPr id="12466304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3267"/>
    <w:multiLevelType w:val="hybridMultilevel"/>
    <w:tmpl w:val="C84485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92902"/>
    <w:multiLevelType w:val="multilevel"/>
    <w:tmpl w:val="B7782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414EDC"/>
    <w:multiLevelType w:val="multilevel"/>
    <w:tmpl w:val="0BC26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C013E4"/>
    <w:multiLevelType w:val="multilevel"/>
    <w:tmpl w:val="B102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EE35CF"/>
    <w:multiLevelType w:val="multilevel"/>
    <w:tmpl w:val="2924B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1962BC"/>
    <w:multiLevelType w:val="hybridMultilevel"/>
    <w:tmpl w:val="2FCC1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7B5132"/>
    <w:multiLevelType w:val="multilevel"/>
    <w:tmpl w:val="478AC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8B4015"/>
    <w:multiLevelType w:val="hybridMultilevel"/>
    <w:tmpl w:val="5796791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997769">
    <w:abstractNumId w:val="0"/>
  </w:num>
  <w:num w:numId="2" w16cid:durableId="1625841286">
    <w:abstractNumId w:val="7"/>
  </w:num>
  <w:num w:numId="3" w16cid:durableId="719674615">
    <w:abstractNumId w:val="1"/>
  </w:num>
  <w:num w:numId="4" w16cid:durableId="450174097">
    <w:abstractNumId w:val="4"/>
  </w:num>
  <w:num w:numId="5" w16cid:durableId="1355501609">
    <w:abstractNumId w:val="2"/>
  </w:num>
  <w:num w:numId="6" w16cid:durableId="604505489">
    <w:abstractNumId w:val="6"/>
  </w:num>
  <w:num w:numId="7" w16cid:durableId="1062173797">
    <w:abstractNumId w:val="3"/>
  </w:num>
  <w:num w:numId="8" w16cid:durableId="16172487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1EA"/>
    <w:rsid w:val="00000367"/>
    <w:rsid w:val="00000E41"/>
    <w:rsid w:val="00004D54"/>
    <w:rsid w:val="00004E02"/>
    <w:rsid w:val="00006B5E"/>
    <w:rsid w:val="000112F1"/>
    <w:rsid w:val="000119A0"/>
    <w:rsid w:val="00013C46"/>
    <w:rsid w:val="000205BD"/>
    <w:rsid w:val="00022CE8"/>
    <w:rsid w:val="0003146D"/>
    <w:rsid w:val="00040176"/>
    <w:rsid w:val="00043813"/>
    <w:rsid w:val="00045D6B"/>
    <w:rsid w:val="00045E0B"/>
    <w:rsid w:val="00053517"/>
    <w:rsid w:val="00055296"/>
    <w:rsid w:val="00056871"/>
    <w:rsid w:val="00061F91"/>
    <w:rsid w:val="00062B96"/>
    <w:rsid w:val="0006371E"/>
    <w:rsid w:val="00075E46"/>
    <w:rsid w:val="00077D8B"/>
    <w:rsid w:val="00080421"/>
    <w:rsid w:val="00084E82"/>
    <w:rsid w:val="00084E94"/>
    <w:rsid w:val="00085E05"/>
    <w:rsid w:val="00085E79"/>
    <w:rsid w:val="0008747F"/>
    <w:rsid w:val="000879CF"/>
    <w:rsid w:val="00095173"/>
    <w:rsid w:val="000966DB"/>
    <w:rsid w:val="000B458F"/>
    <w:rsid w:val="000C0141"/>
    <w:rsid w:val="000C3327"/>
    <w:rsid w:val="000D0535"/>
    <w:rsid w:val="000D1910"/>
    <w:rsid w:val="000D68E0"/>
    <w:rsid w:val="000D6F5C"/>
    <w:rsid w:val="000D7D74"/>
    <w:rsid w:val="000E0B3E"/>
    <w:rsid w:val="000E25BF"/>
    <w:rsid w:val="000E4E2D"/>
    <w:rsid w:val="000E5E2F"/>
    <w:rsid w:val="000F66A6"/>
    <w:rsid w:val="00105CF0"/>
    <w:rsid w:val="00110EEB"/>
    <w:rsid w:val="00113EF2"/>
    <w:rsid w:val="00115E86"/>
    <w:rsid w:val="00123F82"/>
    <w:rsid w:val="00125197"/>
    <w:rsid w:val="00125DAB"/>
    <w:rsid w:val="00126858"/>
    <w:rsid w:val="001315B6"/>
    <w:rsid w:val="00153EC5"/>
    <w:rsid w:val="00153F79"/>
    <w:rsid w:val="0015515F"/>
    <w:rsid w:val="0015553B"/>
    <w:rsid w:val="00161A9A"/>
    <w:rsid w:val="00161B6A"/>
    <w:rsid w:val="00164CD9"/>
    <w:rsid w:val="00167EA4"/>
    <w:rsid w:val="00170FFF"/>
    <w:rsid w:val="00172E88"/>
    <w:rsid w:val="00173A38"/>
    <w:rsid w:val="00180CE1"/>
    <w:rsid w:val="0018498A"/>
    <w:rsid w:val="00185111"/>
    <w:rsid w:val="0018659D"/>
    <w:rsid w:val="00192083"/>
    <w:rsid w:val="00192EDA"/>
    <w:rsid w:val="00195960"/>
    <w:rsid w:val="001A06A7"/>
    <w:rsid w:val="001A328A"/>
    <w:rsid w:val="001A3404"/>
    <w:rsid w:val="001A6E11"/>
    <w:rsid w:val="001B24CF"/>
    <w:rsid w:val="001B2C01"/>
    <w:rsid w:val="001B4624"/>
    <w:rsid w:val="001C3027"/>
    <w:rsid w:val="001C34D9"/>
    <w:rsid w:val="001C3BE0"/>
    <w:rsid w:val="001D118D"/>
    <w:rsid w:val="001D2FF4"/>
    <w:rsid w:val="001D50D3"/>
    <w:rsid w:val="001E0CFE"/>
    <w:rsid w:val="001E5451"/>
    <w:rsid w:val="001E5946"/>
    <w:rsid w:val="001F2F5F"/>
    <w:rsid w:val="001F7ADB"/>
    <w:rsid w:val="00204945"/>
    <w:rsid w:val="002049F8"/>
    <w:rsid w:val="00204DBB"/>
    <w:rsid w:val="00205395"/>
    <w:rsid w:val="00206948"/>
    <w:rsid w:val="00207208"/>
    <w:rsid w:val="002106E9"/>
    <w:rsid w:val="0021083C"/>
    <w:rsid w:val="002109D9"/>
    <w:rsid w:val="00211E3A"/>
    <w:rsid w:val="00214B1F"/>
    <w:rsid w:val="00216124"/>
    <w:rsid w:val="00227CDE"/>
    <w:rsid w:val="00230FED"/>
    <w:rsid w:val="002319F8"/>
    <w:rsid w:val="00233ACF"/>
    <w:rsid w:val="00237B80"/>
    <w:rsid w:val="00240C59"/>
    <w:rsid w:val="002426BE"/>
    <w:rsid w:val="00244B84"/>
    <w:rsid w:val="00245C8D"/>
    <w:rsid w:val="00250316"/>
    <w:rsid w:val="0025064F"/>
    <w:rsid w:val="002515E5"/>
    <w:rsid w:val="00253DAD"/>
    <w:rsid w:val="00276FE5"/>
    <w:rsid w:val="00280445"/>
    <w:rsid w:val="002810B4"/>
    <w:rsid w:val="0028480C"/>
    <w:rsid w:val="00290CD1"/>
    <w:rsid w:val="00292F3C"/>
    <w:rsid w:val="0029366C"/>
    <w:rsid w:val="00294E10"/>
    <w:rsid w:val="00296F0C"/>
    <w:rsid w:val="002A145E"/>
    <w:rsid w:val="002A2193"/>
    <w:rsid w:val="002A26BA"/>
    <w:rsid w:val="002A2B56"/>
    <w:rsid w:val="002A3E7C"/>
    <w:rsid w:val="002A5417"/>
    <w:rsid w:val="002B0E2E"/>
    <w:rsid w:val="002B15F8"/>
    <w:rsid w:val="002B79E7"/>
    <w:rsid w:val="002C6043"/>
    <w:rsid w:val="002D2314"/>
    <w:rsid w:val="002D2D5E"/>
    <w:rsid w:val="002D3D9C"/>
    <w:rsid w:val="002D47F9"/>
    <w:rsid w:val="002D6B10"/>
    <w:rsid w:val="002E1A72"/>
    <w:rsid w:val="002E32C1"/>
    <w:rsid w:val="002E77CB"/>
    <w:rsid w:val="002E7E65"/>
    <w:rsid w:val="002F0076"/>
    <w:rsid w:val="002F00EE"/>
    <w:rsid w:val="002F0899"/>
    <w:rsid w:val="002F1036"/>
    <w:rsid w:val="002F77F0"/>
    <w:rsid w:val="003003E8"/>
    <w:rsid w:val="003007D4"/>
    <w:rsid w:val="00313A9E"/>
    <w:rsid w:val="00321343"/>
    <w:rsid w:val="00322610"/>
    <w:rsid w:val="00324105"/>
    <w:rsid w:val="00330DD8"/>
    <w:rsid w:val="0033631B"/>
    <w:rsid w:val="00340A48"/>
    <w:rsid w:val="00341FA4"/>
    <w:rsid w:val="003425C9"/>
    <w:rsid w:val="00351811"/>
    <w:rsid w:val="0035188D"/>
    <w:rsid w:val="00356655"/>
    <w:rsid w:val="00357186"/>
    <w:rsid w:val="00362346"/>
    <w:rsid w:val="00364884"/>
    <w:rsid w:val="00370CCB"/>
    <w:rsid w:val="00375C8B"/>
    <w:rsid w:val="00377842"/>
    <w:rsid w:val="00377BDF"/>
    <w:rsid w:val="00382960"/>
    <w:rsid w:val="00383251"/>
    <w:rsid w:val="00383392"/>
    <w:rsid w:val="003835FF"/>
    <w:rsid w:val="003836D2"/>
    <w:rsid w:val="003873F3"/>
    <w:rsid w:val="003A0CA5"/>
    <w:rsid w:val="003A63F6"/>
    <w:rsid w:val="003B1DED"/>
    <w:rsid w:val="003B36BE"/>
    <w:rsid w:val="003D2A57"/>
    <w:rsid w:val="003D2DF2"/>
    <w:rsid w:val="003D3105"/>
    <w:rsid w:val="003D3D23"/>
    <w:rsid w:val="003D41CD"/>
    <w:rsid w:val="003D7F1A"/>
    <w:rsid w:val="003E2D66"/>
    <w:rsid w:val="003E5AD7"/>
    <w:rsid w:val="003E66D8"/>
    <w:rsid w:val="003E6D2F"/>
    <w:rsid w:val="003E7801"/>
    <w:rsid w:val="003F0982"/>
    <w:rsid w:val="003F1224"/>
    <w:rsid w:val="003F1C46"/>
    <w:rsid w:val="004044A2"/>
    <w:rsid w:val="00411AD5"/>
    <w:rsid w:val="0042208B"/>
    <w:rsid w:val="0042256A"/>
    <w:rsid w:val="004345CD"/>
    <w:rsid w:val="0043589E"/>
    <w:rsid w:val="00440BCE"/>
    <w:rsid w:val="0044107A"/>
    <w:rsid w:val="00447139"/>
    <w:rsid w:val="00454901"/>
    <w:rsid w:val="004569C0"/>
    <w:rsid w:val="004619F9"/>
    <w:rsid w:val="00464CF6"/>
    <w:rsid w:val="00467416"/>
    <w:rsid w:val="00473F3F"/>
    <w:rsid w:val="0047783D"/>
    <w:rsid w:val="004969FB"/>
    <w:rsid w:val="004976E4"/>
    <w:rsid w:val="004A2D7F"/>
    <w:rsid w:val="004A34CC"/>
    <w:rsid w:val="004A53A6"/>
    <w:rsid w:val="004A5555"/>
    <w:rsid w:val="004A7F2F"/>
    <w:rsid w:val="004B2908"/>
    <w:rsid w:val="004C097C"/>
    <w:rsid w:val="004C56E0"/>
    <w:rsid w:val="004C7E0B"/>
    <w:rsid w:val="004D1472"/>
    <w:rsid w:val="004D6AF9"/>
    <w:rsid w:val="004E3EF8"/>
    <w:rsid w:val="004E5D81"/>
    <w:rsid w:val="004F18A5"/>
    <w:rsid w:val="004F1FA4"/>
    <w:rsid w:val="004F1FAB"/>
    <w:rsid w:val="004F4B05"/>
    <w:rsid w:val="004F4D10"/>
    <w:rsid w:val="00504D7C"/>
    <w:rsid w:val="00507B65"/>
    <w:rsid w:val="005150C5"/>
    <w:rsid w:val="005333C5"/>
    <w:rsid w:val="00534EF2"/>
    <w:rsid w:val="00535D2B"/>
    <w:rsid w:val="005431EA"/>
    <w:rsid w:val="00545A4C"/>
    <w:rsid w:val="005540B8"/>
    <w:rsid w:val="00554E90"/>
    <w:rsid w:val="005567AB"/>
    <w:rsid w:val="00561DF7"/>
    <w:rsid w:val="005658A7"/>
    <w:rsid w:val="00567C79"/>
    <w:rsid w:val="00573D53"/>
    <w:rsid w:val="00576A15"/>
    <w:rsid w:val="0058048E"/>
    <w:rsid w:val="00584BB7"/>
    <w:rsid w:val="00590576"/>
    <w:rsid w:val="005909BA"/>
    <w:rsid w:val="00596486"/>
    <w:rsid w:val="005A0184"/>
    <w:rsid w:val="005A1E1C"/>
    <w:rsid w:val="005A626A"/>
    <w:rsid w:val="005A7CB1"/>
    <w:rsid w:val="005B1C74"/>
    <w:rsid w:val="005B26BB"/>
    <w:rsid w:val="005B7E65"/>
    <w:rsid w:val="005C4E92"/>
    <w:rsid w:val="005C57EF"/>
    <w:rsid w:val="005D053A"/>
    <w:rsid w:val="005E48EF"/>
    <w:rsid w:val="005E6337"/>
    <w:rsid w:val="005E63F8"/>
    <w:rsid w:val="005F64BA"/>
    <w:rsid w:val="00607783"/>
    <w:rsid w:val="0061179A"/>
    <w:rsid w:val="006125FA"/>
    <w:rsid w:val="006141AC"/>
    <w:rsid w:val="006200CC"/>
    <w:rsid w:val="006214DA"/>
    <w:rsid w:val="00626640"/>
    <w:rsid w:val="00632315"/>
    <w:rsid w:val="00634971"/>
    <w:rsid w:val="0064144E"/>
    <w:rsid w:val="00641503"/>
    <w:rsid w:val="006421BB"/>
    <w:rsid w:val="006525B1"/>
    <w:rsid w:val="00653E9C"/>
    <w:rsid w:val="00653F3C"/>
    <w:rsid w:val="00656DBB"/>
    <w:rsid w:val="00660F8F"/>
    <w:rsid w:val="00667505"/>
    <w:rsid w:val="00667F13"/>
    <w:rsid w:val="006740AB"/>
    <w:rsid w:val="00674A08"/>
    <w:rsid w:val="006772D5"/>
    <w:rsid w:val="00680719"/>
    <w:rsid w:val="00686324"/>
    <w:rsid w:val="006934B4"/>
    <w:rsid w:val="006A52F0"/>
    <w:rsid w:val="006A6BDC"/>
    <w:rsid w:val="006B05E5"/>
    <w:rsid w:val="006B2A4C"/>
    <w:rsid w:val="006B3AF9"/>
    <w:rsid w:val="006B4A15"/>
    <w:rsid w:val="006B632F"/>
    <w:rsid w:val="006B68BF"/>
    <w:rsid w:val="006C0AF4"/>
    <w:rsid w:val="006C5485"/>
    <w:rsid w:val="006C5526"/>
    <w:rsid w:val="006D5237"/>
    <w:rsid w:val="006D652A"/>
    <w:rsid w:val="006E190A"/>
    <w:rsid w:val="006E5B0A"/>
    <w:rsid w:val="006E6EB9"/>
    <w:rsid w:val="006E7D64"/>
    <w:rsid w:val="006F21E8"/>
    <w:rsid w:val="006F3A4E"/>
    <w:rsid w:val="006F5B0C"/>
    <w:rsid w:val="00700A5D"/>
    <w:rsid w:val="00700F2B"/>
    <w:rsid w:val="007015AB"/>
    <w:rsid w:val="00703EA1"/>
    <w:rsid w:val="0070526D"/>
    <w:rsid w:val="00707784"/>
    <w:rsid w:val="007102BC"/>
    <w:rsid w:val="0071627D"/>
    <w:rsid w:val="00720CA8"/>
    <w:rsid w:val="00723A88"/>
    <w:rsid w:val="00726264"/>
    <w:rsid w:val="00726893"/>
    <w:rsid w:val="007342A0"/>
    <w:rsid w:val="00736104"/>
    <w:rsid w:val="0074288B"/>
    <w:rsid w:val="007448EA"/>
    <w:rsid w:val="007473BA"/>
    <w:rsid w:val="00747427"/>
    <w:rsid w:val="00751096"/>
    <w:rsid w:val="0075130A"/>
    <w:rsid w:val="0075534E"/>
    <w:rsid w:val="0075692E"/>
    <w:rsid w:val="00756D86"/>
    <w:rsid w:val="00761FAF"/>
    <w:rsid w:val="00763D40"/>
    <w:rsid w:val="00764490"/>
    <w:rsid w:val="007647B6"/>
    <w:rsid w:val="00764931"/>
    <w:rsid w:val="00767588"/>
    <w:rsid w:val="0079163C"/>
    <w:rsid w:val="00796417"/>
    <w:rsid w:val="007A16C7"/>
    <w:rsid w:val="007A5A78"/>
    <w:rsid w:val="007A6281"/>
    <w:rsid w:val="007A6335"/>
    <w:rsid w:val="007A7761"/>
    <w:rsid w:val="007C2395"/>
    <w:rsid w:val="007D0CF8"/>
    <w:rsid w:val="007D78DE"/>
    <w:rsid w:val="007E2F60"/>
    <w:rsid w:val="007E41B1"/>
    <w:rsid w:val="007E76B3"/>
    <w:rsid w:val="007F2CDD"/>
    <w:rsid w:val="007F4C0B"/>
    <w:rsid w:val="007F554B"/>
    <w:rsid w:val="00804002"/>
    <w:rsid w:val="008052E9"/>
    <w:rsid w:val="00806800"/>
    <w:rsid w:val="0080683D"/>
    <w:rsid w:val="00807BAE"/>
    <w:rsid w:val="008153FB"/>
    <w:rsid w:val="00820491"/>
    <w:rsid w:val="00824E43"/>
    <w:rsid w:val="00826939"/>
    <w:rsid w:val="00832D98"/>
    <w:rsid w:val="00835AA0"/>
    <w:rsid w:val="008366B0"/>
    <w:rsid w:val="00840975"/>
    <w:rsid w:val="00840AE9"/>
    <w:rsid w:val="0084199C"/>
    <w:rsid w:val="0084784A"/>
    <w:rsid w:val="00847A06"/>
    <w:rsid w:val="00847AD2"/>
    <w:rsid w:val="00853AEC"/>
    <w:rsid w:val="008631C5"/>
    <w:rsid w:val="008643B2"/>
    <w:rsid w:val="008657F5"/>
    <w:rsid w:val="00865CED"/>
    <w:rsid w:val="00871608"/>
    <w:rsid w:val="00875B5D"/>
    <w:rsid w:val="00875CD7"/>
    <w:rsid w:val="00875DAC"/>
    <w:rsid w:val="00876734"/>
    <w:rsid w:val="0088682E"/>
    <w:rsid w:val="0088704B"/>
    <w:rsid w:val="00887FF3"/>
    <w:rsid w:val="008907AA"/>
    <w:rsid w:val="00891B33"/>
    <w:rsid w:val="00892718"/>
    <w:rsid w:val="00894D44"/>
    <w:rsid w:val="008954F3"/>
    <w:rsid w:val="008960CF"/>
    <w:rsid w:val="008A05A8"/>
    <w:rsid w:val="008A3C04"/>
    <w:rsid w:val="008A45E2"/>
    <w:rsid w:val="008A6D98"/>
    <w:rsid w:val="008B1CF3"/>
    <w:rsid w:val="008B2B09"/>
    <w:rsid w:val="008B3E41"/>
    <w:rsid w:val="008B4E20"/>
    <w:rsid w:val="008B4FE2"/>
    <w:rsid w:val="008C0548"/>
    <w:rsid w:val="008C4330"/>
    <w:rsid w:val="008C64AF"/>
    <w:rsid w:val="008D01E1"/>
    <w:rsid w:val="008D0686"/>
    <w:rsid w:val="008D0DCA"/>
    <w:rsid w:val="008D5B53"/>
    <w:rsid w:val="008D7421"/>
    <w:rsid w:val="008E1ED1"/>
    <w:rsid w:val="008E56A3"/>
    <w:rsid w:val="008F2419"/>
    <w:rsid w:val="008F724B"/>
    <w:rsid w:val="008F7B52"/>
    <w:rsid w:val="00900EF5"/>
    <w:rsid w:val="00903709"/>
    <w:rsid w:val="00910515"/>
    <w:rsid w:val="00921AF3"/>
    <w:rsid w:val="009276E9"/>
    <w:rsid w:val="00943C7E"/>
    <w:rsid w:val="009475F0"/>
    <w:rsid w:val="0096386F"/>
    <w:rsid w:val="00970125"/>
    <w:rsid w:val="0097092A"/>
    <w:rsid w:val="00970F4E"/>
    <w:rsid w:val="00975DF8"/>
    <w:rsid w:val="0097706C"/>
    <w:rsid w:val="0098787C"/>
    <w:rsid w:val="00992176"/>
    <w:rsid w:val="009951F0"/>
    <w:rsid w:val="00995FB9"/>
    <w:rsid w:val="009977D2"/>
    <w:rsid w:val="009A2275"/>
    <w:rsid w:val="009A3B0E"/>
    <w:rsid w:val="009B0A5C"/>
    <w:rsid w:val="009B3079"/>
    <w:rsid w:val="009B39DE"/>
    <w:rsid w:val="009B4AA0"/>
    <w:rsid w:val="009B5359"/>
    <w:rsid w:val="009B63BE"/>
    <w:rsid w:val="009C2EB9"/>
    <w:rsid w:val="009C6069"/>
    <w:rsid w:val="009C72ED"/>
    <w:rsid w:val="009D399E"/>
    <w:rsid w:val="009E44BC"/>
    <w:rsid w:val="009E522B"/>
    <w:rsid w:val="009E618C"/>
    <w:rsid w:val="009F2E8F"/>
    <w:rsid w:val="009F44EC"/>
    <w:rsid w:val="009F48AE"/>
    <w:rsid w:val="00A00AC5"/>
    <w:rsid w:val="00A01216"/>
    <w:rsid w:val="00A01654"/>
    <w:rsid w:val="00A01BFE"/>
    <w:rsid w:val="00A0252D"/>
    <w:rsid w:val="00A05B60"/>
    <w:rsid w:val="00A06087"/>
    <w:rsid w:val="00A12C17"/>
    <w:rsid w:val="00A13647"/>
    <w:rsid w:val="00A14245"/>
    <w:rsid w:val="00A15FDB"/>
    <w:rsid w:val="00A20674"/>
    <w:rsid w:val="00A238E9"/>
    <w:rsid w:val="00A24FE1"/>
    <w:rsid w:val="00A36BB5"/>
    <w:rsid w:val="00A45D09"/>
    <w:rsid w:val="00A530A7"/>
    <w:rsid w:val="00A57B1D"/>
    <w:rsid w:val="00A608FD"/>
    <w:rsid w:val="00A60EA7"/>
    <w:rsid w:val="00A62F50"/>
    <w:rsid w:val="00A716D2"/>
    <w:rsid w:val="00A728DE"/>
    <w:rsid w:val="00A74721"/>
    <w:rsid w:val="00A77819"/>
    <w:rsid w:val="00A80677"/>
    <w:rsid w:val="00A8416C"/>
    <w:rsid w:val="00A84B64"/>
    <w:rsid w:val="00A9567D"/>
    <w:rsid w:val="00A96DD1"/>
    <w:rsid w:val="00AA1488"/>
    <w:rsid w:val="00AB152A"/>
    <w:rsid w:val="00AB30B3"/>
    <w:rsid w:val="00AB5D6F"/>
    <w:rsid w:val="00AB6FFE"/>
    <w:rsid w:val="00AB7539"/>
    <w:rsid w:val="00AC26BC"/>
    <w:rsid w:val="00AD58FE"/>
    <w:rsid w:val="00AD6E75"/>
    <w:rsid w:val="00AE1070"/>
    <w:rsid w:val="00AE24EF"/>
    <w:rsid w:val="00AE2630"/>
    <w:rsid w:val="00AE6208"/>
    <w:rsid w:val="00AE6F87"/>
    <w:rsid w:val="00AF0F98"/>
    <w:rsid w:val="00AF1CC6"/>
    <w:rsid w:val="00AF2066"/>
    <w:rsid w:val="00B0120C"/>
    <w:rsid w:val="00B01E87"/>
    <w:rsid w:val="00B06F32"/>
    <w:rsid w:val="00B10017"/>
    <w:rsid w:val="00B24671"/>
    <w:rsid w:val="00B2555B"/>
    <w:rsid w:val="00B33A27"/>
    <w:rsid w:val="00B404C6"/>
    <w:rsid w:val="00B40D10"/>
    <w:rsid w:val="00B425FC"/>
    <w:rsid w:val="00B43297"/>
    <w:rsid w:val="00B456B7"/>
    <w:rsid w:val="00B47136"/>
    <w:rsid w:val="00B51E5F"/>
    <w:rsid w:val="00B55037"/>
    <w:rsid w:val="00B607AA"/>
    <w:rsid w:val="00B6291D"/>
    <w:rsid w:val="00B632E6"/>
    <w:rsid w:val="00B6634A"/>
    <w:rsid w:val="00B70E0E"/>
    <w:rsid w:val="00B7707F"/>
    <w:rsid w:val="00B770E0"/>
    <w:rsid w:val="00B8145A"/>
    <w:rsid w:val="00B8192D"/>
    <w:rsid w:val="00B85BB8"/>
    <w:rsid w:val="00B87746"/>
    <w:rsid w:val="00B9067B"/>
    <w:rsid w:val="00B91B8B"/>
    <w:rsid w:val="00B91E46"/>
    <w:rsid w:val="00B95EAE"/>
    <w:rsid w:val="00B97333"/>
    <w:rsid w:val="00BC2179"/>
    <w:rsid w:val="00BC5CC8"/>
    <w:rsid w:val="00BE1650"/>
    <w:rsid w:val="00BE7951"/>
    <w:rsid w:val="00BF0F8D"/>
    <w:rsid w:val="00BF0FA3"/>
    <w:rsid w:val="00BF41BE"/>
    <w:rsid w:val="00BF64F8"/>
    <w:rsid w:val="00C0506C"/>
    <w:rsid w:val="00C12064"/>
    <w:rsid w:val="00C137A3"/>
    <w:rsid w:val="00C24467"/>
    <w:rsid w:val="00C24627"/>
    <w:rsid w:val="00C24780"/>
    <w:rsid w:val="00C275DF"/>
    <w:rsid w:val="00C31871"/>
    <w:rsid w:val="00C37E16"/>
    <w:rsid w:val="00C4098A"/>
    <w:rsid w:val="00C45A4F"/>
    <w:rsid w:val="00C462F2"/>
    <w:rsid w:val="00C534E6"/>
    <w:rsid w:val="00C56B90"/>
    <w:rsid w:val="00C606DE"/>
    <w:rsid w:val="00C63DC9"/>
    <w:rsid w:val="00C64E54"/>
    <w:rsid w:val="00C72E9A"/>
    <w:rsid w:val="00C754E3"/>
    <w:rsid w:val="00C75750"/>
    <w:rsid w:val="00C86D85"/>
    <w:rsid w:val="00C94F9D"/>
    <w:rsid w:val="00C95248"/>
    <w:rsid w:val="00C96785"/>
    <w:rsid w:val="00CA023C"/>
    <w:rsid w:val="00CA0BF0"/>
    <w:rsid w:val="00CA409C"/>
    <w:rsid w:val="00CB1100"/>
    <w:rsid w:val="00CB1E5C"/>
    <w:rsid w:val="00CB607E"/>
    <w:rsid w:val="00CB7BD0"/>
    <w:rsid w:val="00CB7D1A"/>
    <w:rsid w:val="00CC5362"/>
    <w:rsid w:val="00CC58C5"/>
    <w:rsid w:val="00CC664F"/>
    <w:rsid w:val="00CC7E27"/>
    <w:rsid w:val="00CD37EB"/>
    <w:rsid w:val="00CD7FE5"/>
    <w:rsid w:val="00CE1D1E"/>
    <w:rsid w:val="00CE459E"/>
    <w:rsid w:val="00CE477B"/>
    <w:rsid w:val="00CE4A8A"/>
    <w:rsid w:val="00CF10AB"/>
    <w:rsid w:val="00CF5547"/>
    <w:rsid w:val="00CF62AF"/>
    <w:rsid w:val="00D02A2A"/>
    <w:rsid w:val="00D0688F"/>
    <w:rsid w:val="00D1691F"/>
    <w:rsid w:val="00D17FDB"/>
    <w:rsid w:val="00D262D2"/>
    <w:rsid w:val="00D30AE6"/>
    <w:rsid w:val="00D32825"/>
    <w:rsid w:val="00D35F29"/>
    <w:rsid w:val="00D43E12"/>
    <w:rsid w:val="00D46E2F"/>
    <w:rsid w:val="00D46EE2"/>
    <w:rsid w:val="00D502F0"/>
    <w:rsid w:val="00D52A56"/>
    <w:rsid w:val="00D53BE2"/>
    <w:rsid w:val="00D566C4"/>
    <w:rsid w:val="00D644D5"/>
    <w:rsid w:val="00D661EA"/>
    <w:rsid w:val="00D7267D"/>
    <w:rsid w:val="00D80DCF"/>
    <w:rsid w:val="00D81F50"/>
    <w:rsid w:val="00D8391F"/>
    <w:rsid w:val="00D86AE4"/>
    <w:rsid w:val="00D87D63"/>
    <w:rsid w:val="00D9368C"/>
    <w:rsid w:val="00D9608C"/>
    <w:rsid w:val="00D96999"/>
    <w:rsid w:val="00D97F9F"/>
    <w:rsid w:val="00DA29B4"/>
    <w:rsid w:val="00DB2665"/>
    <w:rsid w:val="00DB72A4"/>
    <w:rsid w:val="00DB7E1C"/>
    <w:rsid w:val="00DD4AE0"/>
    <w:rsid w:val="00DD6A39"/>
    <w:rsid w:val="00DE0272"/>
    <w:rsid w:val="00DE138F"/>
    <w:rsid w:val="00DF2F62"/>
    <w:rsid w:val="00DF4D04"/>
    <w:rsid w:val="00DF5443"/>
    <w:rsid w:val="00DF6F0A"/>
    <w:rsid w:val="00E01C4D"/>
    <w:rsid w:val="00E03474"/>
    <w:rsid w:val="00E147B7"/>
    <w:rsid w:val="00E178D7"/>
    <w:rsid w:val="00E23150"/>
    <w:rsid w:val="00E2367A"/>
    <w:rsid w:val="00E27BB6"/>
    <w:rsid w:val="00E318A1"/>
    <w:rsid w:val="00E321C7"/>
    <w:rsid w:val="00E42736"/>
    <w:rsid w:val="00E42ED7"/>
    <w:rsid w:val="00E4416E"/>
    <w:rsid w:val="00E44708"/>
    <w:rsid w:val="00E505C9"/>
    <w:rsid w:val="00E51134"/>
    <w:rsid w:val="00E55A39"/>
    <w:rsid w:val="00E55A70"/>
    <w:rsid w:val="00E71A86"/>
    <w:rsid w:val="00E7588C"/>
    <w:rsid w:val="00E76BB4"/>
    <w:rsid w:val="00E841DF"/>
    <w:rsid w:val="00E8453B"/>
    <w:rsid w:val="00E84995"/>
    <w:rsid w:val="00E86FA2"/>
    <w:rsid w:val="00E877F2"/>
    <w:rsid w:val="00E87F5A"/>
    <w:rsid w:val="00E91506"/>
    <w:rsid w:val="00E92391"/>
    <w:rsid w:val="00E92D7F"/>
    <w:rsid w:val="00E93284"/>
    <w:rsid w:val="00E969B7"/>
    <w:rsid w:val="00EA292D"/>
    <w:rsid w:val="00EB3972"/>
    <w:rsid w:val="00EC531B"/>
    <w:rsid w:val="00EC6D9D"/>
    <w:rsid w:val="00ED06DC"/>
    <w:rsid w:val="00ED0C04"/>
    <w:rsid w:val="00ED3D3A"/>
    <w:rsid w:val="00ED4664"/>
    <w:rsid w:val="00ED7D2F"/>
    <w:rsid w:val="00EE254A"/>
    <w:rsid w:val="00EE5F37"/>
    <w:rsid w:val="00EE7F9C"/>
    <w:rsid w:val="00EF01B1"/>
    <w:rsid w:val="00EF11F3"/>
    <w:rsid w:val="00EF2B7E"/>
    <w:rsid w:val="00EF3A35"/>
    <w:rsid w:val="00EF504E"/>
    <w:rsid w:val="00EF6E25"/>
    <w:rsid w:val="00EF6FD3"/>
    <w:rsid w:val="00EF7A07"/>
    <w:rsid w:val="00F03FB5"/>
    <w:rsid w:val="00F04924"/>
    <w:rsid w:val="00F05D7F"/>
    <w:rsid w:val="00F14027"/>
    <w:rsid w:val="00F17362"/>
    <w:rsid w:val="00F3492D"/>
    <w:rsid w:val="00F365E6"/>
    <w:rsid w:val="00F446A7"/>
    <w:rsid w:val="00F4786F"/>
    <w:rsid w:val="00F47EDB"/>
    <w:rsid w:val="00F55087"/>
    <w:rsid w:val="00F56336"/>
    <w:rsid w:val="00F57FD6"/>
    <w:rsid w:val="00F60FCC"/>
    <w:rsid w:val="00F64CF2"/>
    <w:rsid w:val="00F717A4"/>
    <w:rsid w:val="00F735CB"/>
    <w:rsid w:val="00F73BF7"/>
    <w:rsid w:val="00F8199D"/>
    <w:rsid w:val="00F91514"/>
    <w:rsid w:val="00F947DA"/>
    <w:rsid w:val="00F961D0"/>
    <w:rsid w:val="00F97696"/>
    <w:rsid w:val="00FA0C9B"/>
    <w:rsid w:val="00FA1A80"/>
    <w:rsid w:val="00FA1D62"/>
    <w:rsid w:val="00FB3C26"/>
    <w:rsid w:val="00FB71A5"/>
    <w:rsid w:val="00FB79EA"/>
    <w:rsid w:val="00FC0307"/>
    <w:rsid w:val="00FC1D0F"/>
    <w:rsid w:val="00FC5FD8"/>
    <w:rsid w:val="00FC69C2"/>
    <w:rsid w:val="00FD03FA"/>
    <w:rsid w:val="00FD0522"/>
    <w:rsid w:val="00FD3CD0"/>
    <w:rsid w:val="00FE2A51"/>
    <w:rsid w:val="00FE4FC7"/>
    <w:rsid w:val="00FE5FB6"/>
    <w:rsid w:val="00FE6C7F"/>
    <w:rsid w:val="00FE7F18"/>
    <w:rsid w:val="00FF0A86"/>
    <w:rsid w:val="00FF2910"/>
    <w:rsid w:val="00FF2E3B"/>
    <w:rsid w:val="00FF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ED97D"/>
  <w15:chartTrackingRefBased/>
  <w15:docId w15:val="{B36BD282-ECE6-402C-B3B0-55E0BBE7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61EA"/>
    <w:pPr>
      <w:spacing w:after="0" w:line="360" w:lineRule="auto"/>
    </w:pPr>
    <w:rPr>
      <w:rFonts w:ascii="QuayItcTBoo" w:eastAsia="Times New Roman" w:hAnsi="QuayItcTBoo" w:cs="Times New Roman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05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D661E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661E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B3972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EB397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Kommentartext">
    <w:name w:val="annotation text"/>
    <w:basedOn w:val="Standard"/>
    <w:link w:val="KommentartextZchn"/>
    <w:uiPriority w:val="99"/>
    <w:unhideWhenUsed/>
    <w:rsid w:val="00EB3972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3972"/>
    <w:rPr>
      <w:sz w:val="20"/>
      <w:szCs w:val="20"/>
    </w:rPr>
  </w:style>
  <w:style w:type="paragraph" w:customStyle="1" w:styleId="Default">
    <w:name w:val="Default"/>
    <w:rsid w:val="00EB3972"/>
    <w:pPr>
      <w:autoSpaceDE w:val="0"/>
      <w:autoSpaceDN w:val="0"/>
      <w:adjustRightInd w:val="0"/>
      <w:spacing w:after="0" w:line="240" w:lineRule="auto"/>
    </w:pPr>
    <w:rPr>
      <w:rFonts w:ascii="ClanOT-Book" w:hAnsi="ClanOT-Book" w:cs="ClanOT-Book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B3972"/>
    <w:rPr>
      <w:sz w:val="16"/>
      <w:szCs w:val="16"/>
    </w:rPr>
  </w:style>
  <w:style w:type="character" w:styleId="Fett">
    <w:name w:val="Strong"/>
    <w:basedOn w:val="Absatz-Standardschriftart"/>
    <w:uiPriority w:val="22"/>
    <w:qFormat/>
    <w:rsid w:val="00EB397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40C59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5DAB"/>
    <w:pPr>
      <w:spacing w:after="0"/>
    </w:pPr>
    <w:rPr>
      <w:rFonts w:ascii="QuayItcTBoo" w:eastAsia="Times New Roman" w:hAnsi="QuayItcTBoo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5DAB"/>
    <w:rPr>
      <w:rFonts w:ascii="QuayItcTBoo" w:eastAsia="Times New Roman" w:hAnsi="QuayItcTBoo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9A0"/>
    <w:rPr>
      <w:rFonts w:ascii="Segoe UI" w:eastAsia="Times New Roman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894D44"/>
    <w:pPr>
      <w:spacing w:after="0" w:line="240" w:lineRule="auto"/>
    </w:pPr>
    <w:rPr>
      <w:rFonts w:ascii="QuayItcTBoo" w:eastAsia="Times New Roman" w:hAnsi="QuayItcTBoo" w:cs="Times New Roman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44EC"/>
    <w:rPr>
      <w:color w:val="605E5C"/>
      <w:shd w:val="clear" w:color="auto" w:fill="E1DFDD"/>
    </w:rPr>
  </w:style>
  <w:style w:type="character" w:customStyle="1" w:styleId="markedcontent">
    <w:name w:val="markedcontent"/>
    <w:basedOn w:val="Absatz-Standardschriftart"/>
    <w:rsid w:val="00E7588C"/>
  </w:style>
  <w:style w:type="character" w:styleId="BesuchterLink">
    <w:name w:val="FollowedHyperlink"/>
    <w:basedOn w:val="Absatz-Standardschriftart"/>
    <w:uiPriority w:val="99"/>
    <w:semiHidden/>
    <w:unhideWhenUsed/>
    <w:rsid w:val="0074288B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05B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89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4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6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85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79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38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4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2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.klein@bmb-consul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bout:blan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F6F9E4098FA24FA228877026888409" ma:contentTypeVersion="18" ma:contentTypeDescription="Ein neues Dokument erstellen." ma:contentTypeScope="" ma:versionID="f60bd62e59953de425fd108559a38546">
  <xsd:schema xmlns:xsd="http://www.w3.org/2001/XMLSchema" xmlns:xs="http://www.w3.org/2001/XMLSchema" xmlns:p="http://schemas.microsoft.com/office/2006/metadata/properties" xmlns:ns2="39e0115f-cdd0-445a-9af4-685cd6bb2419" xmlns:ns3="c0638978-d130-48da-85cb-7e57c3606cac" targetNamespace="http://schemas.microsoft.com/office/2006/metadata/properties" ma:root="true" ma:fieldsID="6a1a9a58b831b759e76c3c142cf815fa" ns2:_="" ns3:_="">
    <xsd:import namespace="39e0115f-cdd0-445a-9af4-685cd6bb2419"/>
    <xsd:import namespace="c0638978-d130-48da-85cb-7e57c3606c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0115f-cdd0-445a-9af4-685cd6bb2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206d89f0-20fd-4f65-b2a7-88aca593fb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38978-d130-48da-85cb-7e57c3606ca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efe74d-675f-4920-8437-96d31c149be5}" ma:internalName="TaxCatchAll" ma:showField="CatchAllData" ma:web="c0638978-d130-48da-85cb-7e57c3606c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638978-d130-48da-85cb-7e57c3606cac" xsi:nil="true"/>
    <lcf76f155ced4ddcb4097134ff3c332f xmlns="39e0115f-cdd0-445a-9af4-685cd6bb241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DB37B-B554-4204-9548-801297753A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168B2B-49E0-4ECE-93B6-05B13715D5DA}"/>
</file>

<file path=customXml/itemProps3.xml><?xml version="1.0" encoding="utf-8"?>
<ds:datastoreItem xmlns:ds="http://schemas.openxmlformats.org/officeDocument/2006/customXml" ds:itemID="{3A189F75-C452-4715-A153-ACF501942CE7}">
  <ds:schemaRefs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c0638978-d130-48da-85cb-7e57c3606cac"/>
    <ds:schemaRef ds:uri="39e0115f-cdd0-445a-9af4-685cd6bb241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FA4A0A-1F0E-4219-9E4D-36394DC84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5930</Characters>
  <Application>Microsoft Office Word</Application>
  <DocSecurity>0</DocSecurity>
  <Lines>49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Wolf, Marcus</dc:creator>
  <cp:lastModifiedBy>Dagmar Klein</cp:lastModifiedBy>
  <cp:revision>4</cp:revision>
  <cp:lastPrinted>2026-01-06T10:41:00Z</cp:lastPrinted>
  <dcterms:created xsi:type="dcterms:W3CDTF">2026-01-06T08:54:00Z</dcterms:created>
  <dcterms:modified xsi:type="dcterms:W3CDTF">2026-01-06T10:41:00Z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0x010100ABF6F9E4098FA24FA228877026888409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  <property fmtid="{D5CDD505-2E9C-101B-9397-08002B2CF9AE}" pid="5" name="GrammarlyDocumentId">
    <vt:lpwstr>8ad47145-0685-42c5-8b32-0bcb91fc6f8d</vt:lpwstr>
  </property>
</Properties>
</file>